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Iran</w:t>
      </w:r>
      <w:r>
        <w:t xml:space="preserve"> </w:t>
      </w:r>
      <w:r>
        <w:t xml:space="preserve">Tehran</w:t>
      </w:r>
    </w:p>
    <w:bookmarkStart w:id="33" w:name="Xf44a1f5207f22960dd55f0003ef368bb60e1015"/>
    <w:p>
      <w:pPr>
        <w:pStyle w:val="Heading1"/>
      </w:pPr>
      <w:r>
        <w:t xml:space="preserve">Case Study Analysis of the Doctor General Practitioner in Iran Tehran</w:t>
      </w:r>
    </w:p>
    <w:p>
      <w:pPr>
        <w:pStyle w:val="FirstParagraph"/>
      </w:pPr>
      <w:r>
        <w:rPr>
          <w:bCs/>
          <w:b/>
        </w:rPr>
        <w:t xml:space="preserve">Date:</w:t>
      </w:r>
      <w:r>
        <w:t xml:space="preserve"> </w:t>
      </w:r>
      <w:r>
        <w:t xml:space="preserve">October 2023</w:t>
      </w:r>
      <w:r>
        <w:br/>
      </w:r>
      <w:r>
        <w:rPr>
          <w:bCs/>
          <w:b/>
        </w:rPr>
        <w:t xml:space="preserve">Subject:</w:t>
      </w:r>
    </w:p>
    <w:p>
      <w:pPr>
        <w:pStyle w:val="BodyText"/>
      </w:pPr>
      <w:r>
        <w:t xml:space="preserve">The Role, Challenges, and Future Trajectory of the Primary Care Physician</w:t>
      </w:r>
    </w:p>
    <w:p>
      <w:pPr>
        <w:pStyle w:val="BodyText"/>
      </w:pPr>
      <w:r>
        <w:br/>
      </w:r>
      <w:r>
        <w:rPr>
          <w:bCs/>
          <w:b/>
        </w:rPr>
        <w:t xml:space="preserve">A Region Focus:</w:t>
      </w:r>
    </w:p>
    <w:p>
      <w:pPr>
        <w:pStyle w:val="BodyText"/>
      </w:pPr>
      <w:r>
        <w:t xml:space="preserve">Iran Tehran Urban Healthcare Ecosystem"</w:t>
      </w:r>
    </w:p>
    <w:bookmarkStart w:id="20" w:name="introduction-the-context-of-iran-tehran"/>
    <w:p>
      <w:pPr>
        <w:pStyle w:val="Heading2"/>
      </w:pPr>
      <w:r>
        <w:t xml:space="preserve">1. Introduction: The Context of Iran Tehran</w:t>
      </w:r>
    </w:p>
    <w:p>
      <w:pPr>
        <w:pStyle w:val="FirstParagraph"/>
      </w:pPr>
      <w:r>
        <w:t xml:space="preserve">Tehran serves as the pulsating heart of healthcare in Iran, housing nearly eight million residents and serving as a magnet for patients from all over the country seeking specialized treatment. Within this dense urban landscape, the concept of primary care remains foundational yet complex. The</w:t>
      </w:r>
      <w:r>
        <w:t xml:space="preserve"> </w:t>
      </w:r>
      <w:r>
        <w:t xml:space="preserve">Doctor General Practitioner</w:t>
      </w:r>
      <w:r>
        <w:t xml:space="preserve"> </w:t>
      </w:r>
      <w:r>
        <w:t xml:space="preserve">(GP) in this context is not merely a first point of contact; they are often the gatekeepers to a highly specialized and fragmented healthcare system. This case study examines the operational reality, societal expectations, and systemic pressures faced by general practitioners operating specifically within the metropolis of</w:t>
      </w:r>
      <w:r>
        <w:t xml:space="preserve"> </w:t>
      </w:r>
      <w:r>
        <w:t xml:space="preserve">Iran Tehran</w:t>
      </w:r>
      <w:r>
        <w:t xml:space="preserve">.</w:t>
      </w:r>
    </w:p>
    <w:p>
      <w:pPr>
        <w:pStyle w:val="BodyText"/>
      </w:pPr>
      <w:r>
        <w:t xml:space="preserve">In recent decades, Iran has achieved remarkable success in public health indicators. However, the concentration of advanced medical technology and specialists in Tehran has created a unique bottleneck. Patients frequently bypass local clinics, preferring to see specialists directly or seeking second opinions from renowned academics. This behavior places an extraordinary burden on the general practitioner model, forcing these doctors to adapt their roles significantly.</w:t>
      </w:r>
    </w:p>
    <w:bookmarkEnd w:id="20"/>
    <w:bookmarkStart w:id="23" w:name="X3c06aa36f48fae25dc0f6b674cdb86f331a4ca0"/>
    <w:p>
      <w:pPr>
        <w:pStyle w:val="Heading2"/>
      </w:pPr>
      <w:r>
        <w:t xml:space="preserve">2. Profile of the Doctor General Practitioner in Tehran</w:t>
      </w:r>
    </w:p>
    <w:p>
      <w:pPr>
        <w:pStyle w:val="FirstParagraph"/>
      </w:pPr>
      <w:r>
        <w:t xml:space="preserve">The modern</w:t>
      </w:r>
      <w:r>
        <w:t xml:space="preserve"> </w:t>
      </w:r>
      <w:r>
        <w:t xml:space="preserve">Doctor General Practitioner</w:t>
      </w:r>
      <w:r>
        <w:t xml:space="preserve"> </w:t>
      </w:r>
      <w:r>
        <w:t xml:space="preserve">in Iran is typically a medical school graduate who has completed a one-year internship and holds an MD degree. Unlike systems with specific family medicine residency tracks that are universally standardized, the Iranian GP often functions as a generalist without subspecialty certification. In Tehran, this professional profile is further complicated by the high density of highly educated medical professionals.</w:t>
      </w:r>
    </w:p>
    <w:bookmarkStart w:id="21" w:name="educational-background-and-training"/>
    <w:p>
      <w:pPr>
        <w:pStyle w:val="Heading3"/>
      </w:pPr>
      <w:r>
        <w:t xml:space="preserve">2.1 Educational Background and Training</w:t>
      </w:r>
    </w:p>
    <w:p>
      <w:pPr>
        <w:pStyle w:val="FirstParagraph"/>
      </w:pPr>
      <w:r>
        <w:t xml:space="preserve">The educational pathway in Iran is rigorous. Medical universities in Tehran, such as Tehran University of Medical Sciences (TUMS) and Iran University of Medical Sciences, produce some of the most medically literate populations in the region. Consequently, the</w:t>
      </w:r>
      <w:r>
        <w:t xml:space="preserve"> </w:t>
      </w:r>
      <w:r>
        <w:t xml:space="preserve">Doctor General Practitioner</w:t>
      </w:r>
      <w:r>
        <w:t xml:space="preserve"> </w:t>
      </w:r>
      <w:r>
        <w:t xml:space="preserve">must possess a broad knowledge base to compete with patient expectations shaped by high health literacy levels. Patients in Tehran are often well-informed via digital channels, leading to more assertive consultations where GPs are expected to provide evidence-based explanations for referrals or conservative management.</w:t>
      </w:r>
    </w:p>
    <w:bookmarkEnd w:id="21"/>
    <w:bookmarkStart w:id="22" w:name="the-economic-landscape"/>
    <w:p>
      <w:pPr>
        <w:pStyle w:val="Heading3"/>
      </w:pPr>
      <w:r>
        <w:t xml:space="preserve">2.2 The Economic Landscape</w:t>
      </w:r>
    </w:p>
    <w:p>
      <w:pPr>
        <w:pStyle w:val="FirstParagraph"/>
      </w:pPr>
      <w:r>
        <w:t xml:space="preserve">The economic model for a GP in Iran is dual-natured. A significant portion of the population relies on government insurance, which reimburses GPs at fixed, often low rates set by the Ministry of Health and Medical Education (MOHME). To supplement this income, many practitioners in affluent Tehran districts operate private clinics alongside their public duties. This hybrid model allows for better infrastructure and shorter waiting times but can create disparities in care quality based on socioeconomic status.</w:t>
      </w:r>
    </w:p>
    <w:bookmarkEnd w:id="22"/>
    <w:bookmarkEnd w:id="23"/>
    <w:bookmarkStart w:id="27" w:name="operational-challenges-in-a-megacity"/>
    <w:p>
      <w:pPr>
        <w:pStyle w:val="Heading2"/>
      </w:pPr>
      <w:r>
        <w:t xml:space="preserve">3. Operational Challenges in a Megacity</w:t>
      </w:r>
    </w:p>
    <w:p>
      <w:pPr>
        <w:pStyle w:val="FirstParagraph"/>
      </w:pPr>
      <w:r>
        <w:t xml:space="preserve">The urban environment of</w:t>
      </w:r>
      <w:r>
        <w:t xml:space="preserve"> </w:t>
      </w:r>
      <w:r>
        <w:t xml:space="preserve">Iran Tehran</w:t>
      </w:r>
      <w:r>
        <w:t xml:space="preserve"> </w:t>
      </w:r>
      <w:r>
        <w:t xml:space="preserve">presents distinct challenges that define the daily life of the general practitioner. The scale, pollution levels, and demographic diversity create a unique epidemiological profile.</w:t>
      </w:r>
    </w:p>
    <w:bookmarkStart w:id="24" w:name="patient-overload-and-triage-efficiency"/>
    <w:p>
      <w:pPr>
        <w:pStyle w:val="Heading3"/>
      </w:pPr>
      <w:r>
        <w:t xml:space="preserve">3.1 Patient Overload and Triage Efficiency</w:t>
      </w:r>
    </w:p>
    <w:p>
      <w:pPr>
        <w:pStyle w:val="FirstParagraph"/>
      </w:pPr>
      <w:r>
        <w:t xml:space="preserve">In popular districts such as Vanak or Shemiranat, it is not uncommon for a GP to see forty to sixty patients in an eight-hour shift. The sheer volume of cases requires exceptional triage skills. The primary responsibility of the</w:t>
      </w:r>
      <w:r>
        <w:t xml:space="preserve"> </w:t>
      </w:r>
      <w:r>
        <w:t xml:space="preserve">Doctor General Practitioner</w:t>
      </w:r>
      <w:r>
        <w:t xml:space="preserve"> </w:t>
      </w:r>
      <w:r>
        <w:t xml:space="preserve">becomes distinguishing between self-limiting viral infections, chronic disease management (such as hypertension and diabetes), and early signs of serious pathology that require immediate specialist referral. This high-pressure environment contributes significantly to physician burnout.</w:t>
      </w:r>
    </w:p>
    <w:bookmarkEnd w:id="24"/>
    <w:bookmarkStart w:id="25" w:name="the-specialist-seeking-culture"/>
    <w:p>
      <w:pPr>
        <w:pStyle w:val="Heading3"/>
      </w:pPr>
      <w:r>
        <w:t xml:space="preserve">3.2 The "Specialist-Seeking" Culture</w:t>
      </w:r>
    </w:p>
    <w:p>
      <w:pPr>
        <w:pStyle w:val="FirstParagraph"/>
      </w:pPr>
      <w:r>
        <w:t xml:space="preserve">A critical cultural aspect in</w:t>
      </w:r>
      <w:r>
        <w:t xml:space="preserve"> </w:t>
      </w:r>
      <w:r>
        <w:t xml:space="preserve">Iran Tehran</w:t>
      </w:r>
      <w:r>
        <w:t xml:space="preserve"> </w:t>
      </w:r>
      <w:r>
        <w:t xml:space="preserve">is the preference for specialists. Many patients believe that consulting a general practitioner is an unnecessary step before seeing a cardiologist or dermatologist. This undermines the gatekeeping function of primary care. The GP often faces skepticism if they suggest lifestyle changes rather than immediate pharmaceutical intervention or specialist consultation. Overcoming this cultural barrier requires strong communication skills and trust-building, which are difficult to achieve in short appointment windows.</w:t>
      </w:r>
    </w:p>
    <w:bookmarkEnd w:id="25"/>
    <w:bookmarkStart w:id="26" w:name="environmental-health-factors"/>
    <w:p>
      <w:pPr>
        <w:pStyle w:val="Heading3"/>
      </w:pPr>
      <w:r>
        <w:t xml:space="preserve">3.3 Environmental Health Factors</w:t>
      </w:r>
    </w:p>
    <w:p>
      <w:pPr>
        <w:pStyle w:val="FirstParagraph"/>
      </w:pPr>
      <w:r>
        <w:t xml:space="preserve">Tehran frequently suffers from severe air pollution due to its geographical basin shape and traffic congestion. The</w:t>
      </w:r>
      <w:r>
        <w:t xml:space="preserve"> </w:t>
      </w:r>
      <w:r>
        <w:t xml:space="preserve">Doctor General Practitioner</w:t>
      </w:r>
      <w:r>
        <w:t xml:space="preserve"> </w:t>
      </w:r>
      <w:r>
        <w:t xml:space="preserve">plays a crucial role in educating patients about environmental health risks. Respiratory issues, exacerbated by pollution, are a leading cause of GP consultations in the city. GPs must be adept at managing acute exacerbations of asthma and COPD while advising on preventative measures during high-pollution days.</w:t>
      </w:r>
    </w:p>
    <w:bookmarkEnd w:id="26"/>
    <w:bookmarkEnd w:id="27"/>
    <w:bookmarkStart w:id="30" w:name="X03b306338604cf888b4ee1edd1e992a182e339d"/>
    <w:p>
      <w:pPr>
        <w:pStyle w:val="Heading2"/>
      </w:pPr>
      <w:r>
        <w:t xml:space="preserve">4. Technological Integration and Digital Health</w:t>
      </w:r>
    </w:p>
    <w:p>
      <w:pPr>
        <w:pStyle w:val="FirstParagraph"/>
      </w:pPr>
      <w:r>
        <w:t xml:space="preserve">Iran Tehran</w:t>
      </w:r>
      <w:r>
        <w:t xml:space="preserve"> </w:t>
      </w:r>
      <w:r>
        <w:t xml:space="preserve">is one of the most digitally connected cities in the Middle East. The integration of telemedicine has revolutionized how GPs operate, particularly following global health disruptions.</w:t>
      </w:r>
    </w:p>
    <w:bookmarkStart w:id="28" w:name="electronic-health-records-ehr"/>
    <w:p>
      <w:pPr>
        <w:pStyle w:val="Heading3"/>
      </w:pPr>
      <w:r>
        <w:t xml:space="preserve">4.1 Electronic Health Records (EHR)</w:t>
      </w:r>
    </w:p>
    <w:p>
      <w:pPr>
        <w:pStyle w:val="FirstParagraph"/>
      </w:pPr>
      <w:r>
        <w:t xml:space="preserve">The government has pushed for the implementation of electronic prescription systems and health records across public clinics in Tehran. For the</w:t>
      </w:r>
      <w:r>
        <w:t xml:space="preserve"> </w:t>
      </w:r>
      <w:r>
        <w:t xml:space="preserve">Doctor General Practitioner</w:t>
      </w:r>
      <w:r>
        <w:t xml:space="preserve">, this means less paperwork but also increased scrutiny. Prescription patterns are monitored to prevent antibiotic resistance and opioid misuse, common issues in primary care settings.</w:t>
      </w:r>
    </w:p>
    <w:bookmarkEnd w:id="28"/>
    <w:bookmarkStart w:id="29" w:name="teleconsultation-platforms"/>
    <w:p>
      <w:pPr>
        <w:pStyle w:val="Heading3"/>
      </w:pPr>
      <w:r>
        <w:t xml:space="preserve">4.2 Teleconsultation Platforms</w:t>
      </w:r>
    </w:p>
    <w:bookmarkEnd w:id="29"/>
    <w:bookmarkEnd w:id="30"/>
    <w:bookmarkStart w:id="31" w:name="strategic-recommendations"/>
    <w:p>
      <w:pPr>
        <w:pStyle w:val="Heading2"/>
      </w:pPr>
      <w:r>
        <w:t xml:space="preserve">5. Strategic Recommendations</w:t>
      </w:r>
    </w:p>
    <w:p>
      <w:pPr>
        <w:pStyle w:val="FirstParagraph"/>
      </w:pPr>
      <w:r>
        <w:t xml:space="preserve">To strengthen the primary care network in</w:t>
      </w:r>
      <w:r>
        <w:t xml:space="preserve"> </w:t>
      </w:r>
      <w:r>
        <w:t xml:space="preserve">Iran Tehran</w:t>
      </w:r>
      <w:r>
        <w:t xml:space="preserve">, several strategic interventions are recommended:</w:t>
      </w:r>
    </w:p>
    <w:p>
      <w:pPr>
        <w:numPr>
          <w:ilvl w:val="0"/>
          <w:numId w:val="1001"/>
        </w:numPr>
        <w:pStyle w:val="Compact"/>
      </w:pPr>
      <w:r>
        <w:rPr>
          <w:bCs/>
          <w:b/>
        </w:rPr>
        <w:t xml:space="preserve">Redefining the Role:</w:t>
      </w:r>
    </w:p>
    <w:p>
      <w:pPr>
        <w:numPr>
          <w:ilvl w:val="0"/>
          <w:numId w:val="1000"/>
        </w:numPr>
        <w:pStyle w:val="Compact"/>
      </w:pPr>
      <w:r>
        <w:t xml:space="preserve">The government and medical associations should promote Family Medicine as a recognized specialty, distinct from general practice, with standardized residency training. This would enhance the credibility of primary care providers.</w:t>
      </w:r>
    </w:p>
    <w:p>
      <w:pPr>
        <w:numPr>
          <w:ilvl w:val="0"/>
          <w:numId w:val="1001"/>
        </w:numPr>
        <w:pStyle w:val="Compact"/>
      </w:pPr>
      <w:r>
        <w:rPr>
          <w:bCs/>
          <w:b/>
        </w:rPr>
        <w:t xml:space="preserve">Incentivizing Gatekeeping:</w:t>
      </w:r>
    </w:p>
    <w:p>
      <w:pPr>
        <w:numPr>
          <w:ilvl w:val="0"/>
          <w:numId w:val="1000"/>
        </w:numPr>
        <w:pStyle w:val="Compact"/>
      </w:pPr>
      <w:r>
        <w:t xml:space="preserve">Insurance policies in Tehran could be adjusted to offer lower copayments for patients who visit a GP first for non-emergency conditions, thereby discouraging unnecessary specialist visits.</w:t>
      </w:r>
    </w:p>
    <w:p>
      <w:pPr>
        <w:numPr>
          <w:ilvl w:val="0"/>
          <w:numId w:val="1001"/>
        </w:numPr>
        <w:pStyle w:val="Compact"/>
      </w:pPr>
      <w:r>
        <w:rPr>
          <w:bCs/>
          <w:b/>
        </w:rPr>
        <w:t xml:space="preserve">Continuing Medical Education (CME):</w:t>
      </w:r>
    </w:p>
    <w:p>
      <w:pPr>
        <w:numPr>
          <w:ilvl w:val="0"/>
          <w:numId w:val="1000"/>
        </w:numPr>
        <w:pStyle w:val="Compact"/>
      </w:pPr>
      <w:r>
        <w:t xml:space="preserve">Rapid updates on emerging infectious diseases and environmental health protocols specific to Tehran’s air quality are essential. GPs need continuous support to stay ahead of patient-generated information found online.</w:t>
      </w:r>
    </w:p>
    <w:p>
      <w:pPr>
        <w:numPr>
          <w:ilvl w:val="0"/>
          <w:numId w:val="1001"/>
        </w:numPr>
        <w:pStyle w:val="Compact"/>
      </w:pPr>
      <w:r>
        <w:rPr>
          <w:bCs/>
          <w:b/>
        </w:rPr>
        <w:t xml:space="preserve">Mental Health Integration:</w:t>
      </w:r>
    </w:p>
    <w:p>
      <w:pPr>
        <w:numPr>
          <w:ilvl w:val="0"/>
          <w:numId w:val="1000"/>
        </w:numPr>
        <w:pStyle w:val="Compact"/>
      </w:pPr>
      <w:r>
        <w:t xml:space="preserve">Given the stressors of urban life in Tehran, mental health screening should be a standard component of the GP consultation, addressing the rising rates of anxiety and depression in young adults.</w:t>
      </w:r>
    </w:p>
    <w:bookmarkEnd w:id="31"/>
    <w:bookmarkStart w:id="32" w:name="conclusion"/>
    <w:p>
      <w:pPr>
        <w:pStyle w:val="Heading2"/>
      </w:pPr>
      <w:r>
        <w:t xml:space="preserve">6. Conclusion</w:t>
      </w:r>
    </w:p>
    <w:p>
      <w:pPr>
        <w:pStyle w:val="FirstParagraph"/>
      </w:pPr>
      <w:r>
        <w:t xml:space="preserve">The case study of the</w:t>
      </w:r>
      <w:r>
        <w:t xml:space="preserve"> </w:t>
      </w:r>
      <w:r>
        <w:t xml:space="preserve">Doctor General Practitioner</w:t>
      </w:r>
      <w:r>
        <w:t xml:space="preserve"> </w:t>
      </w:r>
      <w:r>
        <w:t xml:space="preserve">in</w:t>
      </w:r>
      <w:r>
        <w:t xml:space="preserve"> </w:t>
      </w:r>
      <w:r>
        <w:t xml:space="preserve">Iran Tehran</w:t>
      </w:r>
      <w:r>
        <w:t xml:space="preserve"> </w:t>
      </w:r>
      <w:r>
        <w:t xml:space="preserve">reveals a profession at a crossroads. While these physicians are indispensable to the healthcare infrastructure, they operate under immense pressure from patient volume, cultural biases toward specialists, and environmental health challenges. The future of primary care in Tehran depends on structural reforms that elevate the status of general practitioners through better training, financial incentives, and technological support. By strengthening the role of the GP as a trusted health advisor rather than just a referral agent, Iran’s capital can build a more resilient and efficient healthcare system capable of serving its millions.</w:t>
      </w:r>
    </w:p>
    <w:p>
      <w:pPr>
        <w:pStyle w:val="BodyText"/>
      </w:pPr>
      <w:r>
        <w:rPr>
          <w:iCs/>
          <w:i/>
        </w:rPr>
        <w:t xml:space="preserve">This document serves as an analytical overview for healthcare policymakers, medical students, and international observers interested in the primary care dynamics of one of the Middle East's most complex urban health environments.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Doctor General Practitioner in Iran Tehran</dc:title>
  <dc:creator/>
  <dc:language>en</dc:language>
  <cp:keywords/>
  <dcterms:created xsi:type="dcterms:W3CDTF">2026-07-29T10:03:23Z</dcterms:created>
  <dcterms:modified xsi:type="dcterms:W3CDTF">2026-07-29T10:03:23Z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