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Economic</w:t>
      </w:r>
      <w:r>
        <w:t xml:space="preserve"> </w:t>
      </w:r>
      <w:r>
        <w:t xml:space="preserve">Resilience</w:t>
      </w:r>
      <w:r>
        <w:t xml:space="preserve"> </w:t>
      </w:r>
      <w:r>
        <w:t xml:space="preserve">in</w:t>
      </w:r>
      <w:r>
        <w:t xml:space="preserve"> </w:t>
      </w:r>
      <w:r>
        <w:t xml:space="preserve">Argentina</w:t>
      </w:r>
      <w:r>
        <w:t xml:space="preserve"> </w:t>
      </w:r>
      <w:r>
        <w:t xml:space="preserve">Córdoba</w:t>
      </w:r>
    </w:p>
    <w:bookmarkStart w:id="22" w:name="X2712a9695752dbdf0f9d54ef2f09796d4144247"/>
    <w:p>
      <w:pPr>
        <w:pStyle w:val="Heading1"/>
      </w:pPr>
      <w:r>
        <w:t xml:space="preserve">The Cordobese Model in Crisis and Recovery: A Case Study of Economic Adaptation in Argentina Córdoba</w:t>
      </w:r>
    </w:p>
    <w:p>
      <w:pPr>
        <w:pStyle w:val="FirstParagraph"/>
      </w:pPr>
      <w:r>
        <w:rPr>
          <w:bCs/>
          <w:b/>
        </w:rPr>
        <w:t xml:space="preserve">Date:</w:t>
      </w:r>
      <w:r>
        <w:t xml:space="preserve"> </w:t>
      </w:r>
      <w:r>
        <w:t xml:space="preserve">May 2024</w:t>
      </w:r>
      <w:r>
        <w:br/>
      </w:r>
      <w:r>
        <w:rPr>
          <w:bCs/>
          <w:b/>
        </w:rPr>
        <w:t xml:space="preserve">Status:</w:t>
      </w:r>
      <w:r>
        <w:t xml:space="preserve"> </w:t>
      </w:r>
      <w:r>
        <w:t xml:space="preserve">Confidential Analysis</w:t>
      </w:r>
      <w:r>
        <w:br/>
      </w:r>
      <w:r>
        <w:rPr>
          <w:bCs/>
          <w:b/>
        </w:rPr>
        <w:t xml:space="preserve">Jurisdiction:</w:t>
      </w:r>
      <w:r>
        <w:t xml:space="preserve"> </w:t>
      </w:r>
      <w:r>
        <w:t xml:space="preserve">Argentina Córdoba Province, South America</w:t>
      </w:r>
    </w:p>
    <w:bookmarkStart w:id="21" w:name="section"/>
    <w:p>
      <w:pPr>
        <w:pStyle w:val="Heading2"/>
      </w:pPr>
    </w:p>
    <w:p>
      <w:pPr>
        <w:pStyle w:val="FirstParagraph"/>
      </w:pPr>
      <w:bookmarkStart w:id="20" w:name="introduction"/>
      <w:bookmarkEnd w:id="20"/>
    </w:p>
    <w:bookmarkEnd w:id="21"/>
    <w:bookmarkEnd w:id="22"/>
    <w:bookmarkStart w:id="25" w:name="X218d7a3b4d943b39adcfb94248c46b7b9558ad8"/>
    <w:p>
      <w:pPr>
        <w:pStyle w:val="Heading1"/>
      </w:pPr>
      <w:r>
        <w:t xml:space="preserve">The Economic Context of Argentina Córdoba</w:t>
      </w:r>
    </w:p>
    <w:p>
      <w:pPr>
        <w:pStyle w:val="FirstParagraph"/>
      </w:pPr>
      <w:r>
        <w:t xml:space="preserve">In the complex tapestry of the Argentine economy, few regions stand out as prominently or paradoxically as Argentina Córdoba. Often referred to as the "Industrial Heartland" and home to one of South America’s most prestigious universities, this province has historically served as a barometer for national economic health. However, in recent years,</w:t>
      </w:r>
      <w:r>
        <w:t xml:space="preserve"> </w:t>
      </w:r>
      <w:r>
        <w:rPr>
          <w:bCs/>
          <w:b/>
        </w:rPr>
        <w:t xml:space="preserve">Argentina Córdoba</w:t>
      </w:r>
      <w:r>
        <w:t xml:space="preserve"> </w:t>
      </w:r>
      <w:r>
        <w:t xml:space="preserve">has become a focal point for understanding how sub-national economies navigate hyperinflation, currency devaluation, and fiscal austerity. This case study examines the unique economic dynamics of Argentina Córdoba, analyzing its resilience through the lens of an industrial base that has managed to maintain export volumes despite severe macroeconomic headwinds. The purpose of this analysis is not merely to describe the situation but to extract actionable insights for policymakers and business leaders operating in volatile emerging markets.</w:t>
      </w:r>
    </w:p>
    <w:bookmarkStart w:id="24" w:name="section-1"/>
    <w:p>
      <w:pPr>
        <w:pStyle w:val="Heading2"/>
      </w:pPr>
    </w:p>
    <w:p>
      <w:pPr>
        <w:pStyle w:val="FirstParagraph"/>
      </w:pPr>
      <w:bookmarkStart w:id="23" w:name="historical-background"/>
      <w:bookmarkEnd w:id="23"/>
    </w:p>
    <w:bookmarkEnd w:id="24"/>
    <w:bookmarkEnd w:id="25"/>
    <w:bookmarkStart w:id="28" w:name="historical-industrial-resilience"/>
    <w:p>
      <w:pPr>
        <w:pStyle w:val="Heading1"/>
      </w:pPr>
      <w:r>
        <w:t xml:space="preserve">Historical Industrial Resilience</w:t>
      </w:r>
    </w:p>
    <w:p>
      <w:pPr>
        <w:pStyle w:val="FirstParagraph"/>
      </w:pPr>
      <w:r>
        <w:t xml:space="preserve">To understand the current economic landscape of</w:t>
      </w:r>
      <w:r>
        <w:t xml:space="preserve"> </w:t>
      </w:r>
      <w:r>
        <w:rPr>
          <w:bCs/>
          <w:b/>
        </w:rPr>
        <w:t xml:space="preserve">Argentina Córdoba</w:t>
      </w:r>
      <w:r>
        <w:t xml:space="preserve">, one must first appreciate its historical foundation. Unlike other provinces that rely heavily on agricultural commodities or raw material extraction, Argentina Córdoba developed a robust manufacturing sector decades ago. The establishment of automotive plants, notably by Ford and Toyota in the 1980s and 90s, created a supply chain ecosystem that persists today. This industrial cluster includes hundreds of tier-one and tier-two suppliers specializing in auto parts, machinery, and technology services.</w:t>
      </w:r>
      <w:r>
        <w:t xml:space="preserve"> </w:t>
      </w:r>
      <w:r>
        <w:t xml:space="preserve">During periods of national economic stability this industrial base allowed Argentina Córdoba to contribute significantly to the national GDP. However, as Argentina faced repeated cycles of inflation exceeding 100% annually and currency controls that stifled import capacity, the</w:t>
      </w:r>
      <w:r>
        <w:t xml:space="preserve"> </w:t>
      </w:r>
      <w:r>
        <w:rPr>
          <w:bCs/>
          <w:b/>
        </w:rPr>
        <w:t xml:space="preserve">Argentina Córdoba</w:t>
      </w:r>
      <w:r>
        <w:t xml:space="preserve"> </w:t>
      </w:r>
      <w:r>
        <w:t xml:space="preserve">model was tested severely. The province could no longer rely on just-in-time inventory systems due to supply chain disruptions caused by customs bottlenecks and lack of foreign currency reserves for importing raw materials.</w:t>
      </w:r>
    </w:p>
    <w:bookmarkStart w:id="27" w:name="section-2"/>
    <w:p>
      <w:pPr>
        <w:pStyle w:val="Heading2"/>
      </w:pPr>
    </w:p>
    <w:p>
      <w:pPr>
        <w:pStyle w:val="FirstParagraph"/>
      </w:pPr>
      <w:bookmarkStart w:id="26" w:name="the-crisis-phase"/>
      <w:bookmarkEnd w:id="26"/>
    </w:p>
    <w:bookmarkEnd w:id="27"/>
    <w:bookmarkEnd w:id="28"/>
    <w:bookmarkStart w:id="31" w:name="the-crisis-phase-adaptation-mechanisms"/>
    <w:p>
      <w:pPr>
        <w:pStyle w:val="Heading1"/>
      </w:pPr>
      <w:r>
        <w:t xml:space="preserve">The Crisis Phase: Adaptation Mechanisms</w:t>
      </w:r>
    </w:p>
    <w:p>
      <w:pPr>
        <w:pStyle w:val="FirstParagraph"/>
      </w:pPr>
      <w:r>
        <w:t xml:space="preserve">Between 2018 and 2023,</w:t>
      </w:r>
      <w:r>
        <w:t xml:space="preserve"> </w:t>
      </w:r>
      <w:r>
        <w:rPr>
          <w:bCs/>
          <w:b/>
        </w:rPr>
        <w:t xml:space="preserve">Argentina Córdoba</w:t>
      </w:r>
      <w:r>
        <w:t xml:space="preserve"> </w:t>
      </w:r>
      <w:r>
        <w:t xml:space="preserve">experienced a period of intense economic stress. The central government’s monetary policies led to a sharp devaluation of the peso, making imports prohibitively expensive for local manufacturers. For the industrial clusters in Argentina Córdoba this was an existential threat. However, instead of collapsing many firms engaged in radical cost-cutting and operational restructuring.</w:t>
      </w:r>
      <w:r>
        <w:t xml:space="preserve"> </w:t>
      </w:r>
      <w:r>
        <w:t xml:space="preserve">Key adaptation strategies observed in</w:t>
      </w:r>
      <w:r>
        <w:t xml:space="preserve"> </w:t>
      </w:r>
      <w:r>
        <w:rPr>
          <w:bCs/>
          <w:b/>
        </w:rPr>
        <w:t xml:space="preserve">Argentina Córdoba</w:t>
      </w:r>
      <w:r>
        <w:t xml:space="preserve"> </w:t>
      </w:r>
      <w:r>
        <w:t xml:space="preserve">included:</w:t>
      </w:r>
    </w:p>
    <w:p>
      <w:pPr>
        <w:numPr>
          <w:ilvl w:val="0"/>
          <w:numId w:val="1001"/>
        </w:numPr>
        <w:pStyle w:val="Compact"/>
      </w:pPr>
      <w:r>
        <w:rPr>
          <w:bCs/>
          <w:b/>
        </w:rPr>
        <w:t xml:space="preserve">Nationalization of Inputs:</w:t>
      </w:r>
      <w:r>
        <w:t xml:space="preserve"> </w:t>
      </w:r>
      <w:r>
        <w:t xml:space="preserve">Manufacturers accelerated the search for local suppliers to replace imported components. This fostered a new wave of innovation among small and medium-sized enterprises (SMEs) within the province.</w:t>
      </w:r>
    </w:p>
    <w:p>
      <w:pPr>
        <w:numPr>
          <w:ilvl w:val="0"/>
          <w:numId w:val="1001"/>
        </w:numPr>
        <w:pStyle w:val="Compact"/>
      </w:pPr>
      <w:r>
        <w:rPr>
          <w:bCs/>
          <w:b/>
        </w:rPr>
        <w:t xml:space="preserve">Diversification into Services:</w:t>
      </w:r>
      <w:r>
        <w:t xml:space="preserve"> </w:t>
      </w:r>
      <w:r>
        <w:t xml:space="preserve">Many traditional manufacturing firms leveraged their engineering talent to expand into software development, IT services, and business process outsourcing. This pivot helped stabilize cash flows as the service sector was less dependent on physical imports.</w:t>
      </w:r>
    </w:p>
    <w:p>
      <w:pPr>
        <w:numPr>
          <w:ilvl w:val="0"/>
          <w:numId w:val="1001"/>
        </w:numPr>
        <w:pStyle w:val="Compact"/>
      </w:pPr>
      <w:r>
        <w:rPr>
          <w:bCs/>
          <w:b/>
        </w:rPr>
        <w:t xml:space="preserve">Labor Flexibility:</w:t>
      </w:r>
      <w:r>
        <w:t xml:space="preserve"> </w:t>
      </w:r>
      <w:r>
        <w:t xml:space="preserve">To survive shrinking domestic demand, companies in</w:t>
      </w:r>
      <w:r>
        <w:t xml:space="preserve"> </w:t>
      </w:r>
      <w:r>
        <w:rPr>
          <w:bCs/>
          <w:b/>
        </w:rPr>
        <w:t xml:space="preserve">Argentina Córdoba</w:t>
      </w:r>
      <w:r>
        <w:t xml:space="preserve"> </w:t>
      </w:r>
      <w:r>
        <w:t xml:space="preserve">negotiated temporary reductions in wages and hours with unions, prioritizing job retention over immediate profitability.</w:t>
      </w:r>
    </w:p>
    <w:bookmarkStart w:id="30" w:name="section-3"/>
    <w:p>
      <w:pPr>
        <w:pStyle w:val="Heading2"/>
      </w:pPr>
    </w:p>
    <w:p>
      <w:pPr>
        <w:pStyle w:val="FirstParagraph"/>
      </w:pPr>
      <w:bookmarkStart w:id="29" w:name="current-challenges"/>
      <w:bookmarkEnd w:id="29"/>
    </w:p>
    <w:bookmarkEnd w:id="30"/>
    <w:bookmarkEnd w:id="31"/>
    <w:bookmarkStart w:id="34" w:name="X9e963082964c1d428974cb09389d7ccf51bb096"/>
    <w:p>
      <w:pPr>
        <w:pStyle w:val="Heading1"/>
      </w:pPr>
      <w:r>
        <w:t xml:space="preserve">The Current Economic Landscape: Challenges and Opportunities</w:t>
      </w:r>
    </w:p>
    <w:p>
      <w:pPr>
        <w:pStyle w:val="FirstParagraph"/>
      </w:pPr>
      <w:r>
        <w:t xml:space="preserve">In 2024, the economic narrative for</w:t>
      </w:r>
      <w:r>
        <w:t xml:space="preserve"> </w:t>
      </w:r>
      <w:r>
        <w:rPr>
          <w:bCs/>
          <w:b/>
        </w:rPr>
        <w:t xml:space="preserve">Argentina Córdoba</w:t>
      </w:r>
      <w:r>
        <w:t xml:space="preserve"> </w:t>
      </w:r>
      <w:r>
        <w:t xml:space="preserve">remains complex. While inflation continues to erode purchasing power, the province has shown signs of stabilizing its industrial output. The key challenge now is not just survival but sustainable growth in a high-inflation environment.</w:t>
      </w:r>
      <w:r>
        <w:t xml:space="preserve"> </w:t>
      </w:r>
      <w:r>
        <w:t xml:space="preserve">One of the most significant challenges facing</w:t>
      </w:r>
      <w:r>
        <w:t xml:space="preserve"> </w:t>
      </w:r>
      <w:r>
        <w:rPr>
          <w:bCs/>
          <w:b/>
        </w:rPr>
        <w:t xml:space="preserve">Argentina Córdoba</w:t>
      </w:r>
      <w:r>
        <w:t xml:space="preserve"> </w:t>
      </w:r>
      <w:r>
        <w:t xml:space="preserve">is the disconnect between local productivity and national fiscal policy. The province generates a substantial trade surplus through exports to neighboring countries, yet it receives minimal fiscal transfers from Buenos Aires due to the central government’s debt constraints. This creates a "resource curse" scenario where local wealth does not necessarily translate into improved public infrastructure or social services within</w:t>
      </w:r>
      <w:r>
        <w:t xml:space="preserve"> </w:t>
      </w:r>
      <w:r>
        <w:rPr>
          <w:bCs/>
          <w:b/>
        </w:rPr>
        <w:t xml:space="preserve">Argentina Córdoba</w:t>
      </w:r>
      <w:r>
        <w:t xml:space="preserve">.</w:t>
      </w:r>
      <w:r>
        <w:t xml:space="preserve"> </w:t>
      </w:r>
      <w:r>
        <w:t xml:space="preserve">Furthermore, the regulatory environment remains uncertain. Frequent changes in export taxes, price controls, and currency regulations create an unpredictable business climate. For investors looking at</w:t>
      </w:r>
      <w:r>
        <w:t xml:space="preserve"> </w:t>
      </w:r>
      <w:r>
        <w:rPr>
          <w:bCs/>
          <w:b/>
        </w:rPr>
        <w:t xml:space="preserve">Argentina Córdoba</w:t>
      </w:r>
      <w:r>
        <w:t xml:space="preserve">, the risk premium is high. However, the cost of labor in</w:t>
      </w:r>
      <w:r>
        <w:t xml:space="preserve"> </w:t>
      </w:r>
      <w:r>
        <w:rPr>
          <w:bCs/>
          <w:b/>
        </w:rPr>
        <w:t xml:space="preserve">Argentina Córdoba</w:t>
      </w:r>
      <w:r>
        <w:t xml:space="preserve">, when converted to USD at parallel market rates, remains competitive compared to other Latin American manufacturing hubs like Mexico or Costa Rica.</w:t>
      </w:r>
    </w:p>
    <w:bookmarkStart w:id="33" w:name="section-4"/>
    <w:p>
      <w:pPr>
        <w:pStyle w:val="Heading2"/>
      </w:pPr>
    </w:p>
    <w:p>
      <w:pPr>
        <w:pStyle w:val="FirstParagraph"/>
      </w:pPr>
      <w:bookmarkStart w:id="32" w:name="case-study-findings"/>
      <w:bookmarkEnd w:id="32"/>
    </w:p>
    <w:bookmarkEnd w:id="33"/>
    <w:bookmarkEnd w:id="34"/>
    <w:bookmarkStart w:id="37" w:name="Xbfbaa5ff77539e822e77354ecda4997b63d20b4"/>
    <w:p>
      <w:pPr>
        <w:pStyle w:val="Heading1"/>
      </w:pPr>
      <w:r>
        <w:t xml:space="preserve">Case Study Findings: The Role of Institutional Agility</w:t>
      </w:r>
    </w:p>
    <w:p>
      <w:pPr>
        <w:pStyle w:val="FirstParagraph"/>
      </w:pPr>
      <w:r>
        <w:t xml:space="preserve">A critical finding from this case study is the role of institutional agility in mitigating economic shocks. The provincial government of</w:t>
      </w:r>
      <w:r>
        <w:t xml:space="preserve"> </w:t>
      </w:r>
      <w:r>
        <w:rPr>
          <w:bCs/>
          <w:b/>
        </w:rPr>
        <w:t xml:space="preserve">Argentina Córdoba</w:t>
      </w:r>
      <w:r>
        <w:t xml:space="preserve">, through agencies such as CORDOBA.SI and investment promotion boards, has actively worked to attract foreign direct investment (FDI) despite national instability. By offering streamlined administrative processes and tax incentives tailored to high-tech industries, the province has maintained its attractiveness to multinational corporations.</w:t>
      </w:r>
      <w:r>
        <w:t xml:space="preserve"> </w:t>
      </w:r>
      <w:r>
        <w:t xml:space="preserve">The case of a mid-sized automotive parts supplier in</w:t>
      </w:r>
      <w:r>
        <w:t xml:space="preserve"> </w:t>
      </w:r>
      <w:r>
        <w:rPr>
          <w:bCs/>
          <w:b/>
        </w:rPr>
        <w:t xml:space="preserve">Argentina Córdoba</w:t>
      </w:r>
      <w:r>
        <w:t xml:space="preserve"> </w:t>
      </w:r>
      <w:r>
        <w:t xml:space="preserve">illustrates this point. Facing a 60% devaluation, the company invested in automation technology funded by local development banks. This investment reduced reliance on manual labor and imported materials, allowing the firm to remain profitable even as domestic sales dropped by 15%. This example underscores that resilience in</w:t>
      </w:r>
      <w:r>
        <w:t xml:space="preserve"> </w:t>
      </w:r>
      <w:r>
        <w:rPr>
          <w:bCs/>
          <w:b/>
        </w:rPr>
        <w:t xml:space="preserve">Argentina Córdoba</w:t>
      </w:r>
      <w:r>
        <w:t xml:space="preserve"> </w:t>
      </w:r>
      <w:r>
        <w:t xml:space="preserve">is not passive; it requires proactive strategic planning and access to specialized financial instruments.</w:t>
      </w:r>
    </w:p>
    <w:bookmarkStart w:id="36" w:name="section-5"/>
    <w:p>
      <w:pPr>
        <w:pStyle w:val="Heading2"/>
      </w:pPr>
    </w:p>
    <w:p>
      <w:pPr>
        <w:pStyle w:val="FirstParagraph"/>
      </w:pPr>
      <w:bookmarkStart w:id="35" w:name="future-projections"/>
      <w:bookmarkEnd w:id="35"/>
    </w:p>
    <w:bookmarkEnd w:id="36"/>
    <w:bookmarkEnd w:id="37"/>
    <w:bookmarkStart w:id="40" w:name="Xbd3374ab8279eca7f9f9bf4ddb271ef8ad86cf7"/>
    <w:p>
      <w:pPr>
        <w:pStyle w:val="Heading1"/>
      </w:pPr>
      <w:r>
        <w:t xml:space="preserve">Future Projections and Strategic Recommendations</w:t>
      </w:r>
    </w:p>
    <w:p>
      <w:pPr>
        <w:pStyle w:val="FirstParagraph"/>
      </w:pPr>
      <w:r>
        <w:t xml:space="preserve">Looking ahead, the trajectory for</w:t>
      </w:r>
      <w:r>
        <w:t xml:space="preserve"> </w:t>
      </w:r>
      <w:r>
        <w:rPr>
          <w:bCs/>
          <w:b/>
        </w:rPr>
        <w:t xml:space="preserve">Argentina CórdobaArgentina Córdoba</w:t>
      </w:r>
      <w:r>
        <w:t xml:space="preserve">Argentina Córdoba include:</w:t>
      </w:r>
    </w:p>
    <w:p>
      <w:pPr>
        <w:numPr>
          <w:ilvl w:val="0"/>
          <w:numId w:val="1002"/>
        </w:numPr>
        <w:pStyle w:val="Compact"/>
      </w:pPr>
      <w:r>
        <w:rPr>
          <w:bCs/>
          <w:b/>
        </w:rPr>
        <w:t xml:space="preserve">Hedge Currency Risk:</w:t>
      </w:r>
      <w:r>
        <w:t xml:space="preserve"> </w:t>
      </w:r>
      <w:r>
        <w:t xml:space="preserve">Businesses should utilize local financial instruments or maintain assets in foreign currencies to protect against peso devaluation.</w:t>
      </w:r>
    </w:p>
    <w:p>
      <w:pPr>
        <w:numPr>
          <w:ilvl w:val="0"/>
          <w:numId w:val="1002"/>
        </w:numPr>
        <w:pStyle w:val="Compact"/>
      </w:pPr>
      <w:r>
        <w:rPr>
          <w:bCs/>
          <w:b/>
        </w:rPr>
        <w:t xml:space="preserve">Diversify Supply Chains:</w:t>
      </w:r>
      <w:r>
        <w:t xml:space="preserve"> </w:t>
      </w:r>
      <w:r>
        <w:t xml:space="preserve">Relying solely on local inputs may be insufficient during prolonged crises. Companies should maintain a diversified supplier base across borders to ensure continuity.</w:t>
      </w:r>
    </w:p>
    <w:p>
      <w:pPr>
        <w:numPr>
          <w:ilvl w:val="0"/>
          <w:numId w:val="1002"/>
        </w:numPr>
        <w:pStyle w:val="Compact"/>
      </w:pPr>
      <w:r>
        <w:rPr>
          <w:bCs/>
          <w:b/>
        </w:rPr>
        <w:t xml:space="preserve">Leverage Human Capital:</w:t>
      </w:r>
      <w:r>
        <w:t xml:space="preserve"> </w:t>
      </w:r>
      <w:r>
        <w:t xml:space="preserve">The educational institutions in</w:t>
      </w:r>
    </w:p>
    <w:p>
      <w:pPr>
        <w:numPr>
          <w:ilvl w:val="0"/>
          <w:numId w:val="1000"/>
        </w:numPr>
        <w:pStyle w:val="Compact"/>
      </w:pPr>
      <w:r>
        <w:t xml:space="preserve">Argentina Córdoba, particularly the National University of Córdoba, offer a pipeline of highly skilled engineers and technicians. Investing in local talent development can yield long-term competitive advantages.</w:t>
      </w:r>
    </w:p>
    <w:p>
      <w:pPr>
        <w:numPr>
          <w:ilvl w:val="0"/>
          <w:numId w:val="1002"/>
        </w:numPr>
        <w:pStyle w:val="Compact"/>
      </w:pPr>
      <w:r>
        <w:rPr>
          <w:bCs/>
          <w:b/>
        </w:rPr>
        <w:t xml:space="preserve">Maintain Government Dialogue:</w:t>
      </w:r>
      <w:r>
        <w:t xml:space="preserve"> </w:t>
      </w:r>
      <w:r>
        <w:t xml:space="preserve">Continuous engagement with provincial authorities is essential to navigate regulatory changes and access government support programs designed for industrial recovery.</w:t>
      </w:r>
    </w:p>
    <w:bookmarkStart w:id="39" w:name="section-6"/>
    <w:p>
      <w:pPr>
        <w:pStyle w:val="Heading2"/>
      </w:pPr>
    </w:p>
    <w:p>
      <w:pPr>
        <w:pStyle w:val="FirstParagraph"/>
      </w:pPr>
      <w:bookmarkStart w:id="38" w:name="conclusion"/>
      <w:bookmarkEnd w:id="38"/>
    </w:p>
    <w:bookmarkEnd w:id="39"/>
    <w:bookmarkEnd w:id="40"/>
    <w:bookmarkStart w:id="41" w:name="conclusion"/>
    <w:p>
      <w:pPr>
        <w:pStyle w:val="Heading1"/>
      </w:pPr>
      <w:r>
        <w:t xml:space="preserve">Conclusion</w:t>
      </w:r>
    </w:p>
    <w:p>
      <w:pPr>
        <w:pStyle w:val="FirstParagraph"/>
      </w:pPr>
      <w:r>
        <w:t xml:space="preserve">The economic journey of</w:t>
      </w:r>
      <w:r>
        <w:t xml:space="preserve"> </w:t>
      </w:r>
      <w:r>
        <w:rPr>
          <w:bCs/>
          <w:b/>
        </w:rPr>
        <w:t xml:space="preserve">Argentina Córdoba</w:t>
      </w:r>
      <w:r>
        <w:t xml:space="preserve">Argentina Córdoba offers valuable lessons on the importance of maintaining export-oriented competitiveness while building robust local supply chains. As Argentina navigates its post-crisis reconstruction phase, the experience of</w:t>
      </w:r>
      <w:r>
        <w:t xml:space="preserve"> </w:t>
      </w:r>
      <w:r>
        <w:rPr>
          <w:bCs/>
          <w:b/>
        </w:rPr>
        <w:t xml:space="preserve">Argentina Córdoba</w:t>
      </w:r>
      <w:r>
        <w:t xml:space="preserve">Argentina Córdoba</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Economic Resilience in Argentina Córdoba</dc:title>
  <dc:creator/>
  <dc:language>en</dc:language>
  <cp:keywords/>
  <dcterms:created xsi:type="dcterms:W3CDTF">2026-07-29T11:19:21Z</dcterms:created>
  <dcterms:modified xsi:type="dcterms:W3CDTF">2026-07-29T11:19:21Z</dcterms:modified>
</cp:coreProperties>
</file>

<file path=docProps/custom.xml><?xml version="1.0" encoding="utf-8"?>
<Properties xmlns="http://schemas.openxmlformats.org/officeDocument/2006/custom-properties" xmlns:vt="http://schemas.openxmlformats.org/officeDocument/2006/docPropsVTypes"/>
</file>