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Economist:</w:t>
      </w:r>
      <w:r>
        <w:t xml:space="preserve"> </w:t>
      </w:r>
      <w:r>
        <w:t xml:space="preserve">A</w:t>
      </w:r>
      <w:r>
        <w:t xml:space="preserve"> </w:t>
      </w:r>
      <w:r>
        <w:t xml:space="preserve">Strategic</w:t>
      </w:r>
      <w:r>
        <w:t xml:space="preserve"> </w:t>
      </w:r>
      <w:r>
        <w:t xml:space="preserve">Case</w:t>
      </w:r>
      <w:r>
        <w:t xml:space="preserve"> </w:t>
      </w:r>
      <w:r>
        <w:t xml:space="preserve">Study</w:t>
      </w:r>
      <w:r>
        <w:t xml:space="preserve"> </w:t>
      </w:r>
      <w:r>
        <w:t xml:space="preserve">for</w:t>
      </w:r>
      <w:r>
        <w:t xml:space="preserve"> </w:t>
      </w:r>
      <w:r>
        <w:t xml:space="preserve">Melbourne</w:t>
      </w:r>
    </w:p>
    <w:bookmarkStart w:id="26" w:name="Xc6180a5dfc25a7acd6dce57ca16edbb9d49af0b"/>
    <w:p>
      <w:pPr>
        <w:pStyle w:val="Heading1"/>
      </w:pPr>
      <w:r>
        <w:t xml:space="preserve">The Economist: A Case Study on the Melbourne Market</w:t>
      </w:r>
    </w:p>
    <w:p>
      <w:pPr>
        <w:pStyle w:val="FirstParagraph"/>
      </w:pPr>
      <w:r>
        <w:rPr>
          <w:iCs/>
          <w:i/>
        </w:rPr>
        <w:t xml:space="preserve">A detailed examination of how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The Economist</w:t>
      </w:r>
      <w:r>
        <w:rPr>
          <w:iCs/>
          <w:i/>
        </w:rPr>
        <w:t xml:space="preserve"> </w:t>
      </w:r>
      <w:r>
        <w:rPr>
          <w:iCs/>
          <w:i/>
        </w:rPr>
        <w:t xml:space="preserve">navigates the complex economic and cultural landscape of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Melbourne, Australia</w:t>
      </w:r>
      <w:r>
        <w:rPr>
          <w:iCs/>
          <w:i/>
        </w:rPr>
        <w:t xml:space="preserve">.</w:t>
      </w:r>
    </w:p>
    <w:bookmarkStart w:id="20" w:name="i.-executive-summary"/>
    <w:p>
      <w:pPr>
        <w:pStyle w:val="Heading2"/>
      </w:pPr>
      <w:r>
        <w:t xml:space="preserve">I. Executive Summary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explores the strategic positioning, marketing methodology, and reader engagement strategies of</w:t>
      </w:r>
      <w:r>
        <w:t xml:space="preserve"> </w:t>
      </w:r>
      <w:r>
        <w:rPr>
          <w:iCs/>
          <w:i/>
        </w:rPr>
        <w:t xml:space="preserve">The Economist</w:t>
      </w:r>
      <w:r>
        <w:t xml:space="preserve">, specifically tailored to its dedicated audience in</w:t>
      </w:r>
      <w:r>
        <w:t xml:space="preserve"> </w:t>
      </w:r>
      <w:r>
        <w:rPr>
          <w:bCs/>
          <w:b/>
        </w:rPr>
        <w:t xml:space="preserve">Melbourne, Australia</w:t>
      </w:r>
      <w:r>
        <w:t xml:space="preserve">. By analyzing how a global publication adapts to local nuances while maintaining its distinct editorial voice, this document offers insights into high-level business communication. The intersection of global economic analysis with local market realities in one of the Southern Hemisphere’s most vibrant financial hubs provides a compelling framework for understanding modern media consumption.</w:t>
      </w:r>
    </w:p>
    <w:bookmarkEnd w:id="20"/>
    <w:bookmarkStart w:id="21" w:name="ii.-market-context-and-audience-profile"/>
    <w:p>
      <w:pPr>
        <w:pStyle w:val="Heading2"/>
      </w:pPr>
      <w:r>
        <w:t xml:space="preserve">II. Market Context and Audience Profile</w:t>
      </w:r>
    </w:p>
    <w:p>
      <w:pPr>
        <w:pStyle w:val="FirstParagraph"/>
      </w:pPr>
      <w:r>
        <w:rPr>
          <w:bCs/>
          <w:b/>
        </w:rPr>
        <w:t xml:space="preserve">Melbourne</w:t>
      </w:r>
      <w:r>
        <w:t xml:space="preserve">, widely recognized as Australia’s cultural capital and a leading financial center, presents a unique demographic profile for</w:t>
      </w:r>
      <w:r>
        <w:t xml:space="preserve"> </w:t>
      </w:r>
      <w:r>
        <w:rPr>
          <w:iCs/>
          <w:i/>
        </w:rPr>
        <w:t xml:space="preserve">The Economist</w:t>
      </w:r>
      <w:r>
        <w:t xml:space="preserve">. The city is home to numerous multinational corporations, high-net-worth individuals, policymakers, and academic institutions. Consequently, the target audience in</w:t>
      </w:r>
      <w:r>
        <w:t xml:space="preserve"> </w:t>
      </w:r>
      <w:r>
        <w:rPr>
          <w:bCs/>
          <w:b/>
        </w:rPr>
        <w:t xml:space="preserve">Melbourne</w:t>
      </w:r>
      <w:r>
        <w:t xml:space="preserve"> </w:t>
      </w:r>
      <w:r>
        <w:t xml:space="preserve">is not merely interested in local news but seeks global perspectives on trade dynamics and geopolitical shifts that impact the Asia-Pacific region.</w:t>
      </w:r>
    </w:p>
    <w:p>
      <w:pPr>
        <w:pStyle w:val="BodyText"/>
      </w:pPr>
      <w:r>
        <w:t xml:space="preserve">In this specific market context,</w:t>
      </w:r>
      <w:r>
        <w:t xml:space="preserve"> </w:t>
      </w:r>
      <w:r>
        <w:rPr>
          <w:iCs/>
          <w:i/>
        </w:rPr>
        <w:t xml:space="preserve">The Economist</w:t>
      </w:r>
      <w:r>
        <w:t xml:space="preserve"> </w:t>
      </w:r>
      <w:r>
        <w:t xml:space="preserve">must balance its reputation for rigorous, data-driven analysis with a deep understanding of local Australian economic factors. The audience here is intellectually curious yet time-poor. They demand concise, authoritative insights that can inform high-stakes decision-making. For this demographic residing in</w:t>
      </w:r>
      <w:r>
        <w:t xml:space="preserve"> </w:t>
      </w:r>
      <w:r>
        <w:rPr>
          <w:bCs/>
          <w:b/>
        </w:rPr>
        <w:t xml:space="preserve">Melbourne</w:t>
      </w:r>
      <w:r>
        <w:t xml:space="preserve">, the publication serves less as a daily news digest and more as an essential analytical companion to their professional lives.</w:t>
      </w:r>
    </w:p>
    <w:bookmarkEnd w:id="21"/>
    <w:bookmarkStart w:id="22" w:name="X3072816e0954adc5e0125ec29129482b8d20442"/>
    <w:p>
      <w:pPr>
        <w:pStyle w:val="Heading2"/>
      </w:pPr>
      <w:r>
        <w:t xml:space="preserve">III. Strategic Marketing and Brand Positioning</w:t>
      </w:r>
    </w:p>
    <w:p>
      <w:pPr>
        <w:pStyle w:val="FirstParagraph"/>
      </w:pPr>
      <w:r>
        <w:t xml:space="preserve">The marketing strategy for</w:t>
      </w:r>
      <w:r>
        <w:t xml:space="preserve"> </w:t>
      </w:r>
      <w:r>
        <w:rPr>
          <w:iCs/>
          <w:i/>
        </w:rPr>
        <w:t xml:space="preserve">The Economist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Melbourne</w:t>
      </w:r>
      <w:r>
        <w:t xml:space="preserve"> </w:t>
      </w:r>
      <w:r>
        <w:t xml:space="preserve">relies heavily on brand prestige rather than aggressive discounting. Unlike many digital-only competitors, the print edition remains a powerful symbol of status and intellectual rigor within Melbourne’s corporate sector. The iconic red cover has become synonymous with global authority.</w:t>
      </w:r>
    </w:p>
    <w:p>
      <w:pPr>
        <w:pStyle w:val="BodyText"/>
      </w:pPr>
      <w:r>
        <w:t xml:space="preserve">In terms of advertising,</w:t>
      </w:r>
      <w:r>
        <w:t xml:space="preserve"> </w:t>
      </w:r>
      <w:r>
        <w:rPr>
          <w:iCs/>
          <w:i/>
        </w:rPr>
        <w:t xml:space="preserve">The Economist</w:t>
      </w:r>
      <w:r>
        <w:t xml:space="preserve"> </w:t>
      </w:r>
      <w:r>
        <w:t xml:space="preserve">adopts a distinctive approach. It eschews traditional consumer ads in favor of thought-leadership articles and op-eds from industry experts. This strategy aligns perfectly with the values of its Melbourne readership, who prefer content that adds intellectual value rather than mere distraction. By positioning itself as a platform for elite discourse, the publication maintains its premium appeal within</w:t>
      </w:r>
      <w:r>
        <w:t xml:space="preserve"> </w:t>
      </w:r>
      <w:r>
        <w:rPr>
          <w:bCs/>
          <w:b/>
        </w:rPr>
        <w:t xml:space="preserve">Melbourne</w:t>
      </w:r>
      <w:r>
        <w:t xml:space="preserve">’s exclusive business circles.</w:t>
      </w:r>
    </w:p>
    <w:bookmarkEnd w:id="22"/>
    <w:bookmarkStart w:id="23" w:name="X9e7110f4030900ad4c1d4af0c0a0975b69cbf06"/>
    <w:p>
      <w:pPr>
        <w:pStyle w:val="Heading2"/>
      </w:pPr>
      <w:r>
        <w:t xml:space="preserve">IV. Digital Transition and Local Content Adaptation</w:t>
      </w:r>
    </w:p>
    <w:p>
      <w:pPr>
        <w:pStyle w:val="FirstParagraph"/>
      </w:pPr>
      <w:r>
        <w:t xml:space="preserve">In recent years, digital transformation has become paramount for global media outlets. In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, we observe how the transition to a digital-first model affects subscriber retention in cities like</w:t>
      </w:r>
      <w:r>
        <w:t xml:space="preserve"> </w:t>
      </w:r>
      <w:r>
        <w:rPr>
          <w:bCs/>
          <w:b/>
        </w:rPr>
        <w:t xml:space="preserve">Melbourne</w:t>
      </w:r>
      <w:r>
        <w:t xml:space="preserve">. While the core editorial stance remains unchanged, regional relevance is crucial. The publication ensures that its coverage includes dedicated sections on Asia-Pacific economics, which directly impact Australian businesses.</w:t>
      </w:r>
    </w:p>
    <w:p>
      <w:pPr>
        <w:pStyle w:val="BodyText"/>
      </w:pPr>
      <w:r>
        <w:t xml:space="preserve">Furthermore, localization efforts extend beyond just content. The digital interface must cater to the high mobile usage rates prevalent in modern</w:t>
      </w:r>
      <w:r>
        <w:t xml:space="preserve"> </w:t>
      </w:r>
      <w:r>
        <w:rPr>
          <w:bCs/>
          <w:b/>
        </w:rPr>
        <w:t xml:space="preserve">Melbourne</w:t>
      </w:r>
      <w:r>
        <w:t xml:space="preserve">. Optimizing for smartphone consumption allows busy executives to access critical analysis during commutes or between meetings. This seamless integration of global analysis with local accessibility is a key pillar of success for</w:t>
      </w:r>
      <w:r>
        <w:t xml:space="preserve"> </w:t>
      </w:r>
      <w:r>
        <w:rPr>
          <w:iCs/>
          <w:i/>
        </w:rPr>
        <w:t xml:space="preserve">The Economist</w:t>
      </w:r>
      <w:r>
        <w:t xml:space="preserve"> </w:t>
      </w:r>
      <w:r>
        <w:t xml:space="preserve">in this market.</w:t>
      </w:r>
    </w:p>
    <w:bookmarkEnd w:id="23"/>
    <w:bookmarkStart w:id="24" w:name="v.-challenges-and-competitive-landscape"/>
    <w:p>
      <w:pPr>
        <w:pStyle w:val="Heading2"/>
      </w:pPr>
      <w:r>
        <w:t xml:space="preserve">V. Challenges and Competitive Landscape</w:t>
      </w:r>
    </w:p>
    <w:p>
      <w:pPr>
        <w:pStyle w:val="FirstParagraph"/>
      </w:pPr>
      <w:r>
        <w:rPr>
          <w:bCs/>
          <w:b/>
        </w:rPr>
        <w:t xml:space="preserve">Melbourne’s</w:t>
      </w:r>
      <w:r>
        <w:t xml:space="preserve"> </w:t>
      </w:r>
      <w:r>
        <w:t xml:space="preserve">media landscape is highly competitive. Readers have access to major Australian publications like the</w:t>
      </w:r>
      <w:r>
        <w:t xml:space="preserve"> </w:t>
      </w:r>
      <w:r>
        <w:rPr>
          <w:iCs/>
          <w:i/>
        </w:rPr>
        <w:t xml:space="preserve">Australian Financial Review (AFR)</w:t>
      </w:r>
      <w:r>
        <w:t xml:space="preserve">, which offers deep local insights, alongside global giants like the</w:t>
      </w:r>
      <w:r>
        <w:t xml:space="preserve"> </w:t>
      </w:r>
      <w:r>
        <w:rPr>
          <w:iCs/>
          <w:i/>
        </w:rPr>
        <w:t xml:space="preserve">Financial Times</w:t>
      </w:r>
      <w:r>
        <w:t xml:space="preserve">. To maintain relevance,</w:t>
      </w:r>
      <w:r>
        <w:t xml:space="preserve"> </w:t>
      </w:r>
      <w:r>
        <w:rPr>
          <w:iCs/>
          <w:i/>
        </w:rPr>
        <w:t xml:space="preserve">The Economist</w:t>
      </w:r>
      <w:r>
        <w:t xml:space="preserve"> </w:t>
      </w:r>
      <w:r>
        <w:t xml:space="preserve">must continuously demonstrate its unique value proposition: a truly global perspective that connects local events to broader international trends.</w:t>
      </w:r>
    </w:p>
    <w:p>
      <w:pPr>
        <w:pStyle w:val="BodyText"/>
      </w:pPr>
      <w:r>
        <w:t xml:space="preserve">An ongoing challenge is ensuring that the publication’s often British-centric editorial tone remains relatable to Australian readers. Subtle adaptations in language and cultural references are necessary without compromising the distinct voice of</w:t>
      </w:r>
      <w:r>
        <w:t xml:space="preserve"> </w:t>
      </w:r>
      <w:r>
        <w:rPr>
          <w:iCs/>
          <w:i/>
        </w:rPr>
        <w:t xml:space="preserve">The Economist</w:t>
      </w:r>
      <w:r>
        <w:t xml:space="preserve">. The goal is to make global analysis feel personally relevant to a reader sitting in a Melbourne boardroom.</w:t>
      </w:r>
    </w:p>
    <w:bookmarkEnd w:id="24"/>
    <w:bookmarkStart w:id="25" w:name="vi.-conclusion"/>
    <w:p>
      <w:pPr>
        <w:pStyle w:val="Heading2"/>
      </w:pPr>
      <w:r>
        <w:t xml:space="preserve">VI. Conclusion</w:t>
      </w:r>
    </w:p>
    <w:p>
      <w:pPr>
        <w:pStyle w:val="FirstParagraph"/>
      </w:pPr>
      <w:r>
        <w:t xml:space="preserve">In conclusion, this</w:t>
      </w:r>
      <w:r>
        <w:t xml:space="preserve"> </w:t>
      </w:r>
      <w:r>
        <w:rPr>
          <w:bCs/>
          <w:b/>
        </w:rPr>
        <w:t xml:space="preserve">Case Study</w:t>
      </w:r>
    </w:p>
    <w:p>
      <w:pPr>
        <w:pStyle w:val="BodyText"/>
      </w:pPr>
      <w:r>
        <w:t xml:space="preserve">Economist’s strategic success in</w:t>
      </w:r>
      <w:r>
        <w:t xml:space="preserve"> </w:t>
      </w:r>
      <w:r>
        <w:rPr>
          <w:bCs/>
          <w:b/>
        </w:rPr>
        <w:t xml:space="preserve">Melbourne, Australia</w:t>
      </w:r>
      <w:r>
        <w:t xml:space="preserve">. By leveraging brand prestige, adapting to digital trends while maintaining editorial integrity, and focusing on the intellectual needs of a sophisticated audience, the publication secures its place as an indispensable resource.</w:t>
      </w:r>
    </w:p>
    <w:p>
      <w:pPr>
        <w:pStyle w:val="BodyText"/>
      </w:pPr>
      <w:r>
        <w:t xml:space="preserve">The enduring appeal of</w:t>
      </w:r>
      <w:r>
        <w:t xml:space="preserve"> </w:t>
      </w:r>
      <w:r>
        <w:rPr>
          <w:iCs/>
          <w:i/>
        </w:rPr>
        <w:t xml:space="preserve">The Economist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Melbourne</w:t>
      </w:r>
      <w:r>
        <w:t xml:space="preserve"> </w:t>
      </w:r>
      <w:r>
        <w:t xml:space="preserve">lies in its ability to provide clarity amidst complexity. As global economies continue to evolve, the demand for reliable, high-level analysis will only increase. For marketers and strategists observing this market, the key takeaway is that authority and relevance must go hand-in-hand.</w:t>
      </w:r>
    </w:p>
    <w:p>
      <w:pPr>
        <w:pStyle w:val="BodyText"/>
      </w:pPr>
      <w:r>
        <w:rPr>
          <w:iCs/>
          <w:i/>
        </w:rPr>
        <w:t xml:space="preserve">The Economist</w:t>
      </w:r>
      <w:r>
        <w:t xml:space="preserve"> </w:t>
      </w:r>
      <w:r>
        <w:t xml:space="preserve">remains a beacon of intellectual rigor in</w:t>
      </w:r>
      <w:r>
        <w:t xml:space="preserve"> </w:t>
      </w:r>
      <w:r>
        <w:rPr>
          <w:bCs/>
          <w:b/>
        </w:rPr>
        <w:t xml:space="preserve">Melbourne’s</w:t>
      </w:r>
      <w:r>
        <w:t xml:space="preserve"> </w:t>
      </w:r>
      <w:r>
        <w:t xml:space="preserve">bustling economic hub, proving that timeless journalism can thrive in a rapidly changing digital world. The interplay between global insight and local connection ensures its continued prominence and influence across the city’s influential sectors.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Economist: A Strategic Case Study for Melbourne</dc:title>
  <dc:creator/>
  <dc:language>en</dc:language>
  <cp:keywords/>
  <dcterms:created xsi:type="dcterms:W3CDTF">2026-07-29T10:28:29Z</dcterms:created>
  <dcterms:modified xsi:type="dcterms:W3CDTF">2026-07-29T10:28:29Z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