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Economist</w:t>
      </w:r>
      <w:r>
        <w:t xml:space="preserve"> </w:t>
      </w:r>
      <w:r>
        <w:t xml:space="preserve">in</w:t>
      </w:r>
      <w:r>
        <w:t xml:space="preserve"> </w:t>
      </w:r>
      <w:r>
        <w:t xml:space="preserve">the</w:t>
      </w:r>
      <w:r>
        <w:t xml:space="preserve"> </w:t>
      </w:r>
      <w:r>
        <w:t xml:space="preserve">Australian</w:t>
      </w:r>
      <w:r>
        <w:t xml:space="preserve"> </w:t>
      </w:r>
      <w:r>
        <w:t xml:space="preserve">Sydney</w:t>
      </w:r>
      <w:r>
        <w:t xml:space="preserve"> </w:t>
      </w:r>
      <w:r>
        <w:t xml:space="preserve">Market</w:t>
      </w:r>
    </w:p>
    <w:bookmarkStart w:id="27" w:name="Xd2b98d296758195ddcc61355bdc9144c68452c5"/>
    <w:p>
      <w:pPr>
        <w:pStyle w:val="Heading1"/>
      </w:pPr>
      <w:r>
        <w:t xml:space="preserve">The Strategic Position of The Economist in Australia Sydney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The Economist Group</w:t>
      </w:r>
      <w:r>
        <w:br/>
      </w:r>
      <w:r>
        <w:rPr>
          <w:bCs/>
          <w:b/>
        </w:rPr>
        <w:t xml:space="preserve">From:</w:t>
      </w:r>
      <w:r>
        <w:t xml:space="preserve"> </w:t>
      </w:r>
      <w:r>
        <w:t xml:space="preserve">Market Analysis Division</w:t>
      </w:r>
      <w:r>
        <w:br/>
      </w:r>
    </w:p>
    <w:bookmarkStart w:id="20" w:name="executive-summary"/>
    <w:p>
      <w:pPr>
        <w:pStyle w:val="Heading2"/>
      </w:pPr>
      <w:r>
        <w:t xml:space="preserve">Executive Summary</w:t>
      </w:r>
    </w:p>
    <w:p>
      <w:pPr>
        <w:pStyle w:val="FirstParagraph"/>
      </w:pPr>
      <w:r>
        <w:t xml:space="preserve">This case study examines the unique market dynamics surrounding a leading global publication, specifically referencing its role in informing high-level discourse within the business and political spheres of Australia Sydney. As one of the most economically significant cities in the Asia-Pacific region, Australia Sydney presents a distinct demographic profile that challenges traditional subscription models while offering immense potential for targeted digital engagement and branded content solutions. This document analyzes how such an intellectual resource maintains relevance among a sophisticated, fast-paced population.</w:t>
      </w:r>
    </w:p>
    <w:bookmarkEnd w:id="20"/>
    <w:bookmarkStart w:id="21" w:name="X35cd03b55399e3c778a66dd0ca66343b3c77e87"/>
    <w:p>
      <w:pPr>
        <w:pStyle w:val="Heading2"/>
      </w:pPr>
      <w:r>
        <w:t xml:space="preserve">Market Context: The Unique Landscape of Australia Sydney</w:t>
      </w:r>
    </w:p>
    <w:p>
      <w:pPr>
        <w:pStyle w:val="FirstParagraph"/>
      </w:pPr>
      <w:r>
        <w:t xml:space="preserve">Australia Sydney is not merely a geographic location; it is the financial heart of the continent and a gateway to Asian markets. The city’s economy is driven by finance, professional services, tourism, and construction. Consequently, the reader profile in this region differs significantly from that of other global hubs. Residents in Australia Sydney tend to be highly educated, with a dense concentration of C-suite executives, policymakers at both state and federal levels (given its status as a capital city for New South Wales), academics from world-renowned institutions like the University of Sydney and UNSW, and legal professionals.</w:t>
      </w:r>
    </w:p>
    <w:p>
      <w:pPr>
        <w:pStyle w:val="BodyText"/>
      </w:pPr>
      <w:r>
        <w:t xml:space="preserve">The media consumption habits in Australia Sydney are characterized by high digital penetration. However, there is a paradoxical demand for long-form, deep-dive journalism that cuts through the noise of 24-hour news cycles. In a city defined by rapid development and complex regulatory environments, decision-makers require context rather than just headlines. This creates a fertile ground for publications that prioritize rigorous analysis over sensationalism.</w:t>
      </w:r>
    </w:p>
    <w:bookmarkEnd w:id="21"/>
    <w:bookmarkStart w:id="22" w:name="Xe71c988b9a5beb86f9c1bc76107881e5e009bae"/>
    <w:p>
      <w:pPr>
        <w:pStyle w:val="Heading2"/>
      </w:pPr>
      <w:r>
        <w:t xml:space="preserve">The Role of The Economist in Shaping Discourse</w:t>
      </w:r>
    </w:p>
    <w:p>
      <w:pPr>
        <w:pStyle w:val="FirstParagraph"/>
      </w:pPr>
      <w:r>
        <w:t xml:space="preserve">In this specific ecosystem, the publication serves as a critical tool for global perspective. While local news outlets provide domestic context, there is often a gap in understanding how global trends—such as monetary policy shifts in the United States or geopolitical tensions affecting trade routes—directly impact local asset prices and business strategies. The Economist fills this void by providing a liberal, free-market international outlook that resonates with the entrepreneurial spirit prevalent in Australia Sydney.</w:t>
      </w:r>
    </w:p>
    <w:p>
      <w:pPr>
        <w:pStyle w:val="BodyText"/>
      </w:pPr>
      <w:r>
        <w:rPr>
          <w:bCs/>
          <w:b/>
        </w:rPr>
        <w:t xml:space="preserve">Key Insight:</w:t>
      </w:r>
      <w:r>
        <w:t xml:space="preserve"> </w:t>
      </w:r>
      <w:r>
        <w:t xml:space="preserve">For professionals operating in Australia Sydney, maintaining a competitive edge requires not just local awareness but global literacy. The publication bridges this gap by offering consistent, reliable analysis that transcends borders.</w:t>
      </w:r>
    </w:p>
    <w:bookmarkEnd w:id="22"/>
    <w:bookmarkStart w:id="23" w:name="X5b2fcda3641572b9bc5f9966c5e45427d20d890"/>
    <w:p>
      <w:pPr>
        <w:pStyle w:val="Heading2"/>
      </w:pPr>
      <w:r>
        <w:t xml:space="preserve">Digital Transformation and User Engagement</w:t>
      </w:r>
    </w:p>
    <w:p>
      <w:pPr>
        <w:pStyle w:val="FirstParagraph"/>
      </w:pPr>
      <w:r>
        <w:t xml:space="preserve">The traditional print model has evolved into a hybrid digital experience. In Australia Sydney, where mobile device usage is among the highest globally, the accessibility of content via tablets and smartphones is paramount. The user interface must cater to professionals who consume news during commutes on the city’s extensive rail network or in brief intervals between meetings in high-rise offices.</w:t>
      </w:r>
    </w:p>
    <w:p>
      <w:pPr>
        <w:pStyle w:val="BodyText"/>
      </w:pPr>
      <w:r>
        <w:t xml:space="preserve">Data indicates that readership peaks during early morning hours (6:00 AM – 8:00 AM) and mid-day breaks. This suggests that content delivery strategies should focus on concise summaries for mobile users, while encouraging deeper engagement through desktop access for full-length articles. Furthermore, the integration of audio features (such as The Daily podcast or article-to-speech functions) caters to the multitasking culture of busy executives in Australia Sydney.</w:t>
      </w:r>
    </w:p>
    <w:bookmarkEnd w:id="23"/>
    <w:bookmarkStart w:id="25" w:name="challenges-and-competitive-landscape"/>
    <w:p>
      <w:pPr>
        <w:pStyle w:val="Heading2"/>
      </w:pPr>
      <w:r>
        <w:t xml:space="preserve">Challenges and Competitive Landscape</w:t>
      </w:r>
    </w:p>
    <w:p>
      <w:pPr>
        <w:pStyle w:val="FirstParagraph"/>
      </w:pPr>
      <w:r>
        <w:t xml:space="preserve">The market is competitive. Readers in Australia Sydney have access to a plethora of financial news sources, including Bloomberg, Reuters, The Australian Financial Review (AFR), and various free aggregator apps. To maintain its position, the publication must leverage its unique value proposition: intellectual rigor and a distinct editorial voice.</w:t>
      </w:r>
    </w:p>
    <w:p>
      <w:pPr>
        <w:pStyle w:val="BodyText"/>
      </w:pPr>
      <w:r>
        <w:rPr>
          <w:bCs/>
          <w:b/>
        </w:rPr>
        <w:t xml:space="preserve">Challenge 1: Subscription Fatigue</w:t>
      </w:r>
      <w:r>
        <w:br/>
      </w:r>
      <w:r>
        <w:t xml:space="preserve">Consumers are increasingly reluctant to pay for multiple news subscriptions. Differentiation through exclusive data, opinion pieces from renowned global contributors, and interactive graphics is essential to justify the cost.</w:t>
      </w:r>
    </w:p>
    <w:p>
      <w:pPr>
        <w:pStyle w:val="BodyText"/>
      </w:pPr>
      <w:r>
        <w:rPr>
          <w:bCs/>
          <w:b/>
        </w:rPr>
        <w:t xml:space="preserve">Challenge 2: Local Relevance</w:t>
      </w:r>
      <w:r>
        <w:br/>
      </w:r>
      <w:r>
        <w:t xml:space="preserve">While global analysis is a strength, readers in Australia Sydney also require localized insights. Strategic partnerships with local think tanks or specialized content sections focusing on Asia-Pacific economics can enhance perceived value and reduce churn rates.</w:t>
      </w:r>
    </w:p>
    <w:bookmarkStart w:id="24" w:name="strategic-recommendations-for-growth"/>
    <w:p>
      <w:pPr>
        <w:pStyle w:val="Heading3"/>
      </w:pPr>
      <w:r>
        <w:t xml:space="preserve">Strategic Recommendations for Growth</w:t>
      </w:r>
    </w:p>
    <w:p>
      <w:pPr>
        <w:numPr>
          <w:ilvl w:val="0"/>
          <w:numId w:val="1001"/>
        </w:numPr>
        <w:pStyle w:val="Compact"/>
      </w:pPr>
      <w:r>
        <w:rPr>
          <w:bCs/>
          <w:b/>
        </w:rPr>
        <w:t xml:space="preserve">Corporate Bundling:</w:t>
      </w:r>
      <w:r>
        <w:br/>
      </w:r>
      <w:r>
        <w:t xml:space="preserve">Develop tailored B2B packages for large corporations based in Australia Sydney, such as banks in the Sydney CBD or mining firms with headquarters in the city. Offering team licenses can drive volume growth.</w:t>
      </w:r>
    </w:p>
    <w:p>
      <w:pPr>
        <w:numPr>
          <w:ilvl w:val="0"/>
          <w:numId w:val="1001"/>
        </w:numPr>
        <w:pStyle w:val="Compact"/>
      </w:pPr>
      <w:r>
        <w:rPr>
          <w:bCs/>
          <w:b/>
        </w:rPr>
        <w:t xml:space="preserve">Event Integration:</w:t>
      </w:r>
      <w:r>
        <w:br/>
      </w:r>
      <w:r>
        <w:t xml:space="preserve">Leverage the brand’s authority by hosting exclusive salons or webinars featuring global economists and local policymakers. This fosters a community of readers and strengthens brand loyalty within the influential circles of Australia Sydney.</w:t>
      </w:r>
    </w:p>
    <w:p>
      <w:pPr>
        <w:numPr>
          <w:ilvl w:val="0"/>
          <w:numId w:val="1001"/>
        </w:numPr>
        <w:pStyle w:val="Compact"/>
      </w:pPr>
      <w:r>
        <w:rPr>
          <w:bCs/>
          <w:b/>
        </w:rPr>
        <w:t xml:space="preserve">Hyper-Local Content Curation:</w:t>
      </w:r>
      <w:r>
        <w:br/>
      </w:r>
      <w:r>
        <w:t xml:space="preserve">Utilize algorithms to highlight sections relevant to Australian economic trends, housing markets, and immigration policies. Making global content feel personally pertinent is key to retention.</w:t>
      </w:r>
    </w:p>
    <w:bookmarkEnd w:id="24"/>
    <w:bookmarkEnd w:id="25"/>
    <w:bookmarkStart w:id="26" w:name="conclusion"/>
    <w:p>
      <w:pPr>
        <w:pStyle w:val="Heading2"/>
      </w:pPr>
      <w:r>
        <w:t xml:space="preserve">Conclusion</w:t>
      </w:r>
    </w:p>
    <w:p>
      <w:pPr>
        <w:pStyle w:val="FirstParagraph"/>
      </w:pPr>
      <w:r>
        <w:t xml:space="preserve">The case for investing in the Australia Sydney market remains strong. The demographic is affluent, educated, and hungry for high-quality analysis that helps them navigate a complex world. By adapting delivery mechanisms to fit the digital-first lifestyle of modern professionals and reinforcing the unique intellectual value of the publication, success can be sustained.</w:t>
      </w:r>
    </w:p>
    <w:p>
      <w:pPr>
        <w:pStyle w:val="BodyText"/>
      </w:pPr>
      <w:r>
        <w:t xml:space="preserve">Ultimately, in a city like Australia Sydney, where capital flows rapidly and decisions are made on precise information, there is no substitute for deep understanding. The publication continues to be an indispensable asset for those who shape the economic future of this vibrant region. Maintaining relevance requires a delicate balance between maintaining global integrity and addressing local nuances.</w:t>
      </w:r>
    </w:p>
    <w:p>
      <w:r>
        <w:pict>
          <v:rect style="width:0;height:1.5pt" o:hralign="center" o:hrstd="t" o:hr="t"/>
        </w:pict>
      </w:r>
    </w:p>
    <w:p>
      <w:pPr>
        <w:pStyle w:val="FirstParagraph"/>
      </w:pPr>
      <w:r>
        <w:rPr>
          <w:iCs/>
          <w:i/>
        </w:rPr>
        <w:t xml:space="preserve">*Note: This document is a simulated case study created for illustrative purposes based on general market trends and the specified constraints. All references to "The Economist" are used in the context of the requested terminology.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Economist in the Australian Sydney Market</dc:title>
  <dc:creator/>
  <dc:language>en</dc:language>
  <cp:keywords/>
  <dcterms:created xsi:type="dcterms:W3CDTF">2026-07-29T15:45:24Z</dcterms:created>
  <dcterms:modified xsi:type="dcterms:W3CDTF">2026-07-29T15:45:24Z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