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Navigating</w:t>
      </w:r>
      <w:r>
        <w:t xml:space="preserve"> </w:t>
      </w:r>
      <w:r>
        <w:t xml:space="preserve">the</w:t>
      </w:r>
      <w:r>
        <w:t xml:space="preserve"> </w:t>
      </w:r>
      <w:r>
        <w:t xml:space="preserve">Transformation</w:t>
      </w:r>
      <w:r>
        <w:t xml:space="preserve"> </w:t>
      </w:r>
      <w:r>
        <w:t xml:space="preserve">of</w:t>
      </w:r>
      <w:r>
        <w:t xml:space="preserve"> </w:t>
      </w:r>
      <w:r>
        <w:t xml:space="preserve">Colombia</w:t>
      </w:r>
      <w:r>
        <w:t xml:space="preserve"> </w:t>
      </w:r>
      <w:r>
        <w:t xml:space="preserve">Medellín</w:t>
      </w:r>
    </w:p>
    <w:bookmarkStart w:id="27" w:name="Xd579498ffcfb11bbacecdf2901d349d6671341e"/>
    <w:p>
      <w:pPr>
        <w:pStyle w:val="Heading1"/>
      </w:pPr>
      <w:r>
        <w:t xml:space="preserve">The Economist Case Study: Strategic Insight and Economic Resilience in Colombia Medellín</w:t>
      </w:r>
    </w:p>
    <w:p>
      <w:pPr>
        <w:pStyle w:val="FirstParagraph"/>
      </w:pPr>
      <w:r>
        <w:rPr>
          <w:bCs/>
          <w:b/>
        </w:rPr>
        <w:t xml:space="preserve">Date:</w:t>
      </w:r>
      <w:r>
        <w:t xml:space="preserve"> </w:t>
      </w:r>
      <w:r>
        <w:t xml:space="preserve">October 2023</w:t>
      </w:r>
      <w:r>
        <w:br/>
      </w:r>
      <w:r>
        <w:rPr>
          <w:bCs/>
          <w:b/>
        </w:rPr>
        <w:t xml:space="preserve">District:</w:t>
      </w:r>
      <w:r>
        <w:t xml:space="preserve"> </w:t>
      </w:r>
      <w:r>
        <w:rPr>
          <w:bCs/>
          <w:b/>
        </w:rPr>
        <w:t xml:space="preserve">Focus Area:</w:t>
      </w:r>
    </w:p>
    <w:bookmarkStart w:id="20" w:name="executive-summary"/>
    <w:p>
      <w:pPr>
        <w:pStyle w:val="Heading2"/>
      </w:pPr>
      <w:r>
        <w:t xml:space="preserve">Executive Summary</w:t>
      </w:r>
    </w:p>
    <w:p>
      <w:pPr>
        <w:pStyle w:val="FirstParagraph"/>
      </w:pPr>
      <w:r>
        <w:t xml:space="preserve">In the landscape of global economic analysis, few cities offer as compelling a narrative as Colombia Medellín. Once synonymous with drug cartels and violence in the early 1990s, Medellín has undergone one of the most remarkable urban transformations in modern history. This case study examines how strategic policy interventions, driven by data-driven governance and international engagement, have repositioned Medellín as a hub for innovation, tourism, and economic growth. The analysis is grounded in insights often highlighted by</w:t>
      </w:r>
      <w:r>
        <w:t xml:space="preserve"> </w:t>
      </w:r>
      <w:r>
        <w:rPr>
          <w:iCs/>
          <w:i/>
        </w:rPr>
        <w:t xml:space="preserve">The Economist</w:t>
      </w:r>
      <w:r>
        <w:t xml:space="preserve"> </w:t>
      </w:r>
      <w:r>
        <w:t xml:space="preserve">intelligence unit: the importance of institutional stability, infrastructure investment in marginalized areas (the "comunas"), and the integration of global markets. For investors and policymakers alike, understanding the Medellín model provides critical lessons on how to convert social capital into economic advantage.</w:t>
      </w:r>
    </w:p>
    <w:bookmarkEnd w:id="20"/>
    <w:bookmarkStart w:id="21" w:name="Xd51112378474f04ca13509c0b9b638f1f7beb93"/>
    <w:p>
      <w:pPr>
        <w:pStyle w:val="Heading2"/>
      </w:pPr>
      <w:r>
        <w:t xml:space="preserve">Historical Context: From Violence to Vitality</w:t>
      </w:r>
    </w:p>
    <w:p>
      <w:pPr>
        <w:pStyle w:val="FirstParagraph"/>
      </w:pPr>
      <w:r>
        <w:t xml:space="preserve">To appreciate the current economic standing of Colombia Medellín, one must first acknowledge its past. In the late 20th century, the city was controlled by powerful drug cartels, leading to high homicide rates and significant capital flight.</w:t>
      </w:r>
      <w:r>
        <w:t xml:space="preserve"> </w:t>
      </w:r>
      <w:r>
        <w:rPr>
          <w:iCs/>
          <w:i/>
        </w:rPr>
        <w:t xml:space="preserve">The Economist</w:t>
      </w:r>
      <w:r>
        <w:t xml:space="preserve"> </w:t>
      </w:r>
      <w:r>
        <w:t xml:space="preserve">frequently notes that economic potential is often stifled not by a lack of resources, but by a lack of security and institutional trust. The turning point began in the late 1990s with the election of Sergio Fajardo, a mathematician who prioritized education and public space over militaristic solutions alone.</w:t>
      </w:r>
    </w:p>
    <w:p>
      <w:pPr>
        <w:pStyle w:val="BodyText"/>
      </w:pPr>
      <w:r>
        <w:t xml:space="preserve">This shift was not merely symbolic. It involved a deliberate strategy to redirect municipal resources toward high-visibility infrastructure projects in the poorest hillside communities. By building libraries, parks, and cable cars in these areas, the city government signaled that these citizens were part of the formal economy and society. This psychological shift was crucial for attracting talent and fostering a sense of civic pride that underpins economic productivity today.</w:t>
      </w:r>
    </w:p>
    <w:bookmarkEnd w:id="21"/>
    <w:bookmarkStart w:id="22" w:name="Xdce6a2b32dd2c4d30af15f4f659a3606514e187"/>
    <w:p>
      <w:pPr>
        <w:pStyle w:val="Heading2"/>
      </w:pPr>
      <w:r>
        <w:t xml:space="preserve">The Role of Infrastructure as an Economic Catalyst</w:t>
      </w:r>
    </w:p>
    <w:p>
      <w:pPr>
        <w:pStyle w:val="FirstParagraph"/>
      </w:pPr>
      <w:r>
        <w:t xml:space="preserve">A core tenet observed by analysts at</w:t>
      </w:r>
      <w:r>
        <w:t xml:space="preserve"> </w:t>
      </w:r>
      <w:r>
        <w:rPr>
          <w:iCs/>
          <w:i/>
        </w:rPr>
        <w:t xml:space="preserve">The Economist</w:t>
      </w:r>
      <w:r>
        <w:t xml:space="preserve"> </w:t>
      </w:r>
      <w:r>
        <w:t xml:space="preserve">is that infrastructure in Colombia Medellín serves not just as a utility, but as a tool for social inclusion and market access. The Metrocable system, for instance, is more than a tourist attraction; it connects remote hillside neighborhoods to the city center’s job markets in hours rather than days. This reduction in transportation time effectively expands the labor pool and increases wage opportunities for residents.</w:t>
      </w:r>
    </w:p>
    <w:p>
      <w:pPr>
        <w:pStyle w:val="BodyText"/>
      </w:pPr>
      <w:r>
        <w:t xml:space="preserve">Furthermore, recent investments in digital infrastructure have positioned Medellín as a leader in fintech and software development. The city has actively courted technology firms, offering tax incentives and a skilled workforce graduated from improved educational institutions. This pivot towards the knowledge economy represents a significant departure from traditional manufacturing or agriculture-based models, aligning Medellín with global trends identified by</w:t>
      </w:r>
      <w:r>
        <w:t xml:space="preserve"> </w:t>
      </w:r>
      <w:r>
        <w:rPr>
          <w:iCs/>
          <w:i/>
        </w:rPr>
        <w:t xml:space="preserve">The Economist</w:t>
      </w:r>
      <w:r>
        <w:t xml:space="preserve"> </w:t>
      </w:r>
      <w:r>
        <w:t xml:space="preserve">as key drivers of resilience in emerging markets.</w:t>
      </w:r>
    </w:p>
    <w:bookmarkEnd w:id="22"/>
    <w:bookmarkStart w:id="23" w:name="challenges-and-structural-risks"/>
    <w:p>
      <w:pPr>
        <w:pStyle w:val="Heading2"/>
      </w:pPr>
      <w:r>
        <w:t xml:space="preserve">Challenges and Structural Risks</w:t>
      </w:r>
    </w:p>
    <w:p>
      <w:pPr>
        <w:pStyle w:val="FirstParagraph"/>
      </w:pPr>
      <w:r>
        <w:t xml:space="preserve">Despite its successes, the case of Colombia Medellín is not without significant challenges that warrant careful analysis. Gentrification remains a pressing issue. As the city becomes more attractive to foreign investors and tourists, property prices in central areas have risen sharply, potentially displacing long-term residents from the very neighborhoods that benefited from earlier urban renewal projects.</w:t>
      </w:r>
      <w:r>
        <w:br/>
      </w:r>
      <w:r>
        <w:br/>
      </w:r>
      <w:r>
        <w:t xml:space="preserve">Additionally, while inequality has decreased compared to previous decades, it remains high. The gap between the formal sector workers in the tech hub and those still operating in informal economies is stark.</w:t>
      </w:r>
      <w:r>
        <w:t xml:space="preserve"> </w:t>
      </w:r>
      <w:r>
        <w:rPr>
          <w:iCs/>
          <w:i/>
        </w:rPr>
        <w:t xml:space="preserve">The Economist</w:t>
      </w:r>
      <w:r>
        <w:t xml:space="preserve"> </w:t>
      </w:r>
      <w:r>
        <w:t xml:space="preserve">often emphasizes that sustainable economic growth requires broad-based benefits; otherwise, social unrest can undermine political stability and investor confidence.</w:t>
      </w:r>
      <w:r>
        <w:br/>
      </w:r>
      <w:r>
        <w:br/>
      </w:r>
      <w:r>
        <w:t xml:space="preserve">Moreover, Colombia’s broader macroeconomic environment poses risks. Political polarization at the national level, fluctuations in commodity prices (particularly coal and coffee), and global interest rate hikes affect Medellín’s local investment climate. The city must maintain its momentum despite these external shocks by diversifying its economic base further and strengthening public-private partnerships.</w:t>
      </w:r>
    </w:p>
    <w:bookmarkEnd w:id="23"/>
    <w:bookmarkStart w:id="24" w:name="X2577c5db4ce14978f75df03f88daed5611046a9"/>
    <w:p>
      <w:pPr>
        <w:pStyle w:val="Heading2"/>
      </w:pPr>
      <w:r>
        <w:t xml:space="preserve">The Role of International Perception and Branding</w:t>
      </w:r>
    </w:p>
    <w:p>
      <w:pPr>
        <w:pStyle w:val="FirstParagraph"/>
      </w:pPr>
      <w:r>
        <w:t xml:space="preserve">One cannot discuss the modern economy of Colombia Medellín without addressing its rebranded identity. Through strategic marketing campaigns such as "Medellín, the City of Eternal Spring," local authorities have successfully attracted millions in tourism revenue. However, branding alone is insufficient without substantive economic underpinnings.</w:t>
      </w:r>
      <w:r>
        <w:br/>
      </w:r>
      <w:r>
        <w:br/>
      </w:r>
      <w:r>
        <w:rPr>
          <w:iCs/>
          <w:i/>
        </w:rPr>
        <w:t xml:space="preserve">The Economist</w:t>
      </w:r>
      <w:r>
        <w:t xml:space="preserve"> </w:t>
      </w:r>
      <w:r>
        <w:t xml:space="preserve">case studies often highlight how credible institutions back up brand promises. In Medellín’s case, the consistency of policy implementation over two decades has built trust among international partners. This credibility lowers the "risk premium" for foreign direct investment (FDI). Investors are more willing to commit capital when they perceive a stable regulatory environment and a government capable of delivering on long-term projects.</w:t>
      </w:r>
    </w:p>
    <w:bookmarkEnd w:id="24"/>
    <w:bookmarkStart w:id="25" w:name="strategic-implications-for-future-growth"/>
    <w:p>
      <w:pPr>
        <w:pStyle w:val="Heading2"/>
      </w:pPr>
      <w:r>
        <w:t xml:space="preserve">Strategic Implications for Future Growth</w:t>
      </w:r>
    </w:p>
    <w:p>
      <w:pPr>
        <w:pStyle w:val="FirstParagraph"/>
      </w:pPr>
      <w:r>
        <w:t xml:space="preserve">Looking ahead, the trajectory of Colombia Medellín depends on addressing three key areas: sustainability, education continuity, and regional integration. As a model city, Medellín faces pressure to maintain its green initiatives amidst rapid urbanization. The preservation of its mountainous ecosystem is not just an environmental concern but an economic one, as nature-based tourism continues to grow.</w:t>
      </w:r>
      <w:r>
        <w:br/>
      </w:r>
      <w:r>
        <w:br/>
      </w:r>
      <w:r>
        <w:t xml:space="preserve">Education remains the cornerstone of this strategy. The city must ensure that its educational institutions adapt to the changing needs of the global job market, particularly in AI and data sciences. Finally, Medellín must strengthen its ties with other regions within Colombia and Latin America to create a broader economic zone that can compete globally.</w:t>
      </w:r>
    </w:p>
    <w:bookmarkEnd w:id="25"/>
    <w:bookmarkStart w:id="26" w:name="conclusion"/>
    <w:p>
      <w:pPr>
        <w:pStyle w:val="Heading2"/>
      </w:pPr>
      <w:r>
        <w:t xml:space="preserve">Conclusion</w:t>
      </w:r>
    </w:p>
    <w:p>
      <w:pPr>
        <w:pStyle w:val="FirstParagraph"/>
      </w:pPr>
      <w:r>
        <w:t xml:space="preserve">The transformation of Colombia Medellín serves as a powerful case study for urban economics and development policy. It demonstrates that with visionary leadership, consistent investment in social infrastructure, and a focus on human capital, even the most damaged urban centers can reinvent themselves. For stakeholders reading</w:t>
      </w:r>
      <w:r>
        <w:t xml:space="preserve"> </w:t>
      </w:r>
      <w:r>
        <w:rPr>
          <w:iCs/>
          <w:i/>
        </w:rPr>
        <w:t xml:space="preserve">The Economist</w:t>
      </w:r>
      <w:r>
        <w:t xml:space="preserve"> </w:t>
      </w:r>
      <w:r>
        <w:t xml:space="preserve">or similar analytical publications, Medellín offers a blueprint: success is not just about attracting foreign capital, but about creating an inclusive environment where that capital generates tangible benefits for all citizens. While challenges regarding inequality and political stability persist, the foundational work laid over the last three decades provides a robust platform for continued growth. The story of Medellín is far from over; it has entered a new chapter focused on sustainability and technological innovation, proving that economic resilience is achievable through deliberate, data-informed action.</w:t>
      </w:r>
    </w:p>
    <w:p>
      <w:r>
        <w:pict>
          <v:rect style="width:0;height:1.5pt" o:hralign="center" o:hrstd="t" o:hr="t"/>
        </w:pict>
      </w:r>
    </w:p>
    <w:p>
      <w:pPr>
        <w:pStyle w:val="FirstParagraph"/>
      </w:pPr>
      <w:r>
        <w:rPr>
          <w:iCs/>
          <w:i/>
        </w:rPr>
        <w:t xml:space="preserve">Note: This document is prepared for informational purposes based on general economic trends and analytical frameworks consistent with publications like The Economist. It serves as an academic case study outline.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Navigating the Transformation of Colombia Medellín</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