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Economic</w:t>
      </w:r>
      <w:r>
        <w:t xml:space="preserve"> </w:t>
      </w:r>
      <w:r>
        <w:t xml:space="preserve">Intelligence</w:t>
      </w:r>
      <w:r>
        <w:t xml:space="preserve"> </w:t>
      </w:r>
      <w:r>
        <w:t xml:space="preserve">in</w:t>
      </w:r>
      <w:r>
        <w:t xml:space="preserve"> </w:t>
      </w:r>
      <w:r>
        <w:t xml:space="preserve">Germany</w:t>
      </w:r>
      <w:r>
        <w:t xml:space="preserve"> </w:t>
      </w:r>
      <w:r>
        <w:t xml:space="preserve">Frankfurt</w:t>
      </w:r>
    </w:p>
    <w:bookmarkStart w:id="30" w:name="Xbbd1234c83941937f1c289e7a84c0bef56d053b"/>
    <w:p>
      <w:pPr>
        <w:pStyle w:val="Heading1"/>
      </w:pPr>
      <w:r>
        <w:t xml:space="preserve">Case Study Leveraging The Economist for Strategic Decision-Making in Germany Frankfurt</w:t>
      </w:r>
    </w:p>
    <w:bookmarkStart w:id="20" w:name="executive-summary"/>
    <w:p>
      <w:pPr>
        <w:pStyle w:val="Heading3"/>
      </w:pPr>
      <w:r>
        <w:rPr>
          <w:bCs/>
          <w:b/>
        </w:rPr>
        <w:t xml:space="preserve">Executive Summary:</w:t>
      </w:r>
    </w:p>
    <w:p>
      <w:pPr>
        <w:pStyle w:val="FirstParagraph"/>
      </w:pPr>
      <w:r>
        <w:t xml:space="preserve">This case study examines the critical role of high-quality global economic intelligence, specifically through the lens of</w:t>
      </w:r>
      <w:r>
        <w:t xml:space="preserve"> </w:t>
      </w:r>
      <w:r>
        <w:rPr>
          <w:iCs/>
          <w:i/>
        </w:rPr>
        <w:t xml:space="preserve">The Economist</w:t>
      </w:r>
      <w:r>
        <w:t xml:space="preserve">, within the dynamic financial ecosystem of Germany’s Frankfurt. As one of Europe’s most pivotal financial hubs,</w:t>
      </w:r>
      <w:r>
        <w:t xml:space="preserve"> </w:t>
      </w:r>
      <w:r>
        <w:rPr>
          <w:bCs/>
          <w:b/>
        </w:rPr>
        <w:t xml:space="preserve">Germany Frankfurt</w:t>
      </w:r>
      <w:r>
        <w:t xml:space="preserve"> </w:t>
      </w:r>
      <w:r>
        <w:t xml:space="preserve">serves as a nexus for European monetary policy, cross-border investment, and regulatory compliance. This document analyzes how institutional investors and corporate strategists in this region utilize</w:t>
      </w:r>
      <w:r>
        <w:t xml:space="preserve"> </w:t>
      </w:r>
      <w:r>
        <w:rPr>
          <w:iCs/>
          <w:i/>
        </w:rPr>
        <w:t xml:space="preserve">The Economist</w:t>
      </w:r>
      <w:r>
        <w:t xml:space="preserve"> </w:t>
      </w:r>
      <w:r>
        <w:t xml:space="preserve">to navigate complex macroeconomic shifts, interpret the nuances of European Central Bank (ECB) policies, and gain a competitive edge in an increasingly volatile global market.</w:t>
      </w:r>
    </w:p>
    <w:bookmarkEnd w:id="20"/>
    <w:bookmarkStart w:id="21" w:name="X4bb22ddb690cb6f0d667dd412c233d4574b5b46"/>
    <w:p>
      <w:pPr>
        <w:pStyle w:val="Heading2"/>
      </w:pPr>
      <w:r>
        <w:t xml:space="preserve">1. Introduction: The Financial Heart of Europe</w:t>
      </w:r>
    </w:p>
    <w:p>
      <w:pPr>
        <w:pStyle w:val="FirstParagraph"/>
      </w:pPr>
      <w:r>
        <w:rPr>
          <w:bCs/>
          <w:b/>
        </w:rPr>
        <w:t xml:space="preserve">Germany Frankfurt</w:t>
      </w:r>
      <w:r>
        <w:t xml:space="preserve">, often referred to simply as "Frankfurt am Main," is not merely a German city but the undisputed financial capital of Continental Europe. Home to the European Central Bank (ECB), the Deutsche Bundesbank, and numerous major international investment banks, hedge funds, and insurance companies, the city’s pulse beats in rhythm with global capital flows. For professionals operating in this high-stakes environment, access to timely, accurate, and deep economic analysis is not a luxury; it is a fundamental operational requirement.</w:t>
      </w:r>
    </w:p>
    <w:p>
      <w:pPr>
        <w:pStyle w:val="BodyText"/>
      </w:pPr>
      <w:r>
        <w:t xml:space="preserve">In this context</w:t>
      </w:r>
      <w:r>
        <w:t xml:space="preserve"> </w:t>
      </w:r>
      <w:r>
        <w:rPr>
          <w:iCs/>
          <w:i/>
        </w:rPr>
        <w:t xml:space="preserve">The Economist</w:t>
      </w:r>
      <w:r>
        <w:t xml:space="preserve"> </w:t>
      </w:r>
      <w:r>
        <w:t xml:space="preserve">has established itself as an indispensable resource. While local newspapers such as the</w:t>
      </w:r>
      <w:r>
        <w:t xml:space="preserve"> </w:t>
      </w:r>
      <w:r>
        <w:rPr>
          <w:iCs/>
          <w:i/>
        </w:rPr>
        <w:t xml:space="preserve">Frankfurter Allgemeine Zeitung (FAZ)</w:t>
      </w:r>
      <w:r>
        <w:t xml:space="preserve"> </w:t>
      </w:r>
      <w:r>
        <w:t xml:space="preserve">provide essential granular data on domestic German affairs, global strategic thinkers require the broader geopolitical and macroeconomic perspective that</w:t>
      </w:r>
      <w:r>
        <w:t xml:space="preserve"> </w:t>
      </w:r>
      <w:r>
        <w:rPr>
          <w:iCs/>
          <w:i/>
        </w:rPr>
        <w:t xml:space="preserve">The Economist</w:t>
      </w:r>
      <w:r>
        <w:t xml:space="preserve"> </w:t>
      </w:r>
      <w:r>
        <w:t xml:space="preserve">provides. This case study explores how financial institutions in Frankfurt integrate this specific publication into their daily workflows to enhance decision-making frameworks.</w:t>
      </w:r>
    </w:p>
    <w:bookmarkEnd w:id="21"/>
    <w:bookmarkStart w:id="22" w:name="X256de6baa979fb0b660f423376743d1a9aa46c9"/>
    <w:p>
      <w:pPr>
        <w:pStyle w:val="Heading2"/>
      </w:pPr>
      <w:r>
        <w:t xml:space="preserve">2. The Challenge: Information Overload and Geopolitical Volatility</w:t>
      </w:r>
    </w:p>
    <w:p>
      <w:pPr>
        <w:pStyle w:val="FirstParagraph"/>
      </w:pPr>
      <w:r>
        <w:t xml:space="preserve">Professionals in</w:t>
      </w:r>
      <w:r>
        <w:t xml:space="preserve"> </w:t>
      </w:r>
      <w:r>
        <w:rPr>
          <w:bCs/>
          <w:b/>
        </w:rPr>
        <w:t xml:space="preserve">Germany Frankfurt</w:t>
      </w:r>
    </w:p>
    <w:p>
      <w:pPr>
        <w:numPr>
          <w:ilvl w:val="0"/>
          <w:numId w:val="1001"/>
        </w:numPr>
        <w:pStyle w:val="Compact"/>
      </w:pPr>
      <w:r>
        <w:rPr>
          <w:bCs/>
          <w:b/>
        </w:rPr>
        <w:t xml:space="preserve">Polycentric Policy Environment:</w:t>
      </w:r>
      <w:r>
        <w:t xml:space="preserve"> </w:t>
      </w:r>
      <w:r>
        <w:t xml:space="preserve">Unlike the US Federal Reserve, which has a singular focus on the American economy, the ECB must balance divergent interests across the Eurozone. Understanding these nuances requires more than just raw data; it requires synthesized interpretation.</w:t>
      </w:r>
    </w:p>
    <w:p>
      <w:pPr>
        <w:numPr>
          <w:ilvl w:val="0"/>
          <w:numId w:val="1001"/>
        </w:numPr>
        <w:pStyle w:val="Compact"/>
      </w:pPr>
      <w:r>
        <w:rPr>
          <w:bCs/>
          <w:b/>
        </w:rPr>
        <w:t xml:space="preserve">Global Interconnectedness:</w:t>
      </w:r>
      <w:r>
        <w:t xml:space="preserve"> </w:t>
      </w:r>
      <w:r>
        <w:t xml:space="preserve">A banking firm in Frankfurt does not operate in isolation. It is deeply exposed to trends in Asia, trade tensions with North America, and energy security issues affecting Europe. Local news sources often lack the bandwidth or perspective to cover these global interdependencies comprehensively.</w:t>
      </w:r>
    </w:p>
    <w:p>
      <w:pPr>
        <w:numPr>
          <w:ilvl w:val="0"/>
          <w:numId w:val="1001"/>
        </w:numPr>
        <w:pStyle w:val="Compact"/>
      </w:pPr>
      <w:r>
        <w:rPr>
          <w:bCs/>
          <w:b/>
        </w:rPr>
        <w:t xml:space="preserve">Speed vs. Depth:</w:t>
      </w:r>
      <w:r>
        <w:t xml:space="preserve"> </w:t>
      </w:r>
      <w:r>
        <w:t xml:space="preserve">Financial markets move instantly. Professionals need insights that are both current and deeply analytical to distinguish between short-term noise and long-term structural trends.</w:t>
      </w:r>
    </w:p>
    <w:p>
      <w:pPr>
        <w:pStyle w:val="FirstParagraph"/>
      </w:pPr>
      <w:r>
        <w:t xml:space="preserve">The core challenge for firms in Frankfurt is filtering this vast amount of information to extract actionable intelligence. This is where specialized media outlets like</w:t>
      </w:r>
      <w:r>
        <w:t xml:space="preserve"> </w:t>
      </w:r>
      <w:r>
        <w:rPr>
          <w:iCs/>
          <w:i/>
        </w:rPr>
        <w:t xml:space="preserve">The Economist</w:t>
      </w:r>
      <w:r>
        <w:t xml:space="preserve"> </w:t>
      </w:r>
      <w:r>
        <w:t xml:space="preserve">become vital tools for risk management and strategic planning.</w:t>
      </w:r>
    </w:p>
    <w:bookmarkEnd w:id="22"/>
    <w:bookmarkStart w:id="26" w:name="Xd00510ee8decd8d0ef5ab7c7615dfd5085980f3"/>
    <w:p>
      <w:pPr>
        <w:pStyle w:val="Heading2"/>
      </w:pPr>
      <w:r>
        <w:t xml:space="preserve">3. The Solution: Integrating The Economist into Frankfurt’s Workflow</w:t>
      </w:r>
    </w:p>
    <w:p>
      <w:pPr>
        <w:pStyle w:val="FirstParagraph"/>
      </w:pPr>
      <w:r>
        <w:t xml:space="preserve">To address these challenges, leading institutions in</w:t>
      </w:r>
      <w:r>
        <w:t xml:space="preserve"> </w:t>
      </w:r>
      <w:r>
        <w:rPr>
          <w:bCs/>
          <w:b/>
        </w:rPr>
        <w:t xml:space="preserve">Germany Frankfurt</w:t>
      </w:r>
      <w:r>
        <w:t xml:space="preserve">The Economist. This is not merely about reading the weekly magazine; it involves embedding its analytical framework into daily operations.</w:t>
      </w:r>
    </w:p>
    <w:bookmarkStart w:id="23" w:name="Xee20ca9a7236c03d217608b0f5d4661f08bc615"/>
    <w:p>
      <w:pPr>
        <w:pStyle w:val="Heading3"/>
      </w:pPr>
      <w:r>
        <w:t xml:space="preserve">3.1. Macro-Economic Forecasting and ECB Policy Interpretation</w:t>
      </w:r>
    </w:p>
    <w:p>
      <w:pPr>
        <w:pStyle w:val="FirstParagraph"/>
      </w:pPr>
      <w:r>
        <w:t xml:space="preserve">One of the primary use cases for</w:t>
      </w:r>
      <w:r>
        <w:t xml:space="preserve"> </w:t>
      </w:r>
      <w:r>
        <w:rPr>
          <w:iCs/>
          <w:i/>
        </w:rPr>
        <w:t xml:space="preserve">The Economist</w:t>
      </w:r>
      <w:r>
        <w:t xml:space="preserve"> </w:t>
      </w:r>
      <w:r>
        <w:t xml:space="preserve">in Frankfurt is its rigorous analysis of monetary policy. The publication’s consistent coverage of the ECB, inflation dynamics within the Eurozone, and global interest rate trajectories provides a counter-narrative to official press releases. For example, when discussing potential rate hikes or quantitative tightening,</w:t>
      </w:r>
      <w:r>
        <w:t xml:space="preserve"> </w:t>
      </w:r>
      <w:r>
        <w:rPr>
          <w:iCs/>
          <w:i/>
        </w:rPr>
        <w:t xml:space="preserve">The Economist</w:t>
      </w:r>
      <w:r>
        <w:t xml:space="preserve"> </w:t>
      </w:r>
      <w:r>
        <w:t xml:space="preserve">often provides historical context and cross-border comparisons that help Frankfurt-based analysts anticipate market reactions before they fully materialize.</w:t>
      </w:r>
    </w:p>
    <w:bookmarkEnd w:id="23"/>
    <w:bookmarkStart w:id="24" w:name="geopolitical-risk-assessment"/>
    <w:p>
      <w:pPr>
        <w:pStyle w:val="Heading3"/>
      </w:pPr>
      <w:r>
        <w:t xml:space="preserve">3.2. Geopolitical Risk Assessment</w:t>
      </w:r>
    </w:p>
    <w:p>
      <w:pPr>
        <w:pStyle w:val="FirstParagraph"/>
      </w:pPr>
      <w:r>
        <w:t xml:space="preserve">Germany’s economy is heavily export-dependent. Therefore, trade wars, supply chain disruptions in Asia, or political instability in Africa have direct repercussions on Frankfurt-based multinationals.</w:t>
      </w:r>
      <w:r>
        <w:t xml:space="preserve"> </w:t>
      </w:r>
      <w:r>
        <w:rPr>
          <w:iCs/>
          <w:i/>
        </w:rPr>
        <w:t xml:space="preserve">The Economist</w:t>
      </w:r>
      <w:r>
        <w:t xml:space="preserve">’s weekly geopolitical roundup offers a synthesized view of these risks. Senior strategists in Frankfurt rely on this content to stress-test their investment portfolios against scenarios involving global trade fragmentation.</w:t>
      </w:r>
    </w:p>
    <w:bookmarkEnd w:id="24"/>
    <w:bookmarkStart w:id="25" w:name="cross-industry-insights"/>
    <w:p>
      <w:pPr>
        <w:pStyle w:val="Heading3"/>
      </w:pPr>
      <w:r>
        <w:t xml:space="preserve">3.3. Cross-Industry Insights</w:t>
      </w:r>
    </w:p>
    <w:p>
      <w:pPr>
        <w:pStyle w:val="FirstParagraph"/>
      </w:pPr>
      <w:r>
        <w:rPr>
          <w:iCs/>
          <w:i/>
        </w:rPr>
        <w:t xml:space="preserve">The Economist</w:t>
      </w:r>
      <w:r>
        <w:t xml:space="preserve"> </w:t>
      </w:r>
      <w:r>
        <w:t xml:space="preserve">covers technology, energy, and demographics with the same rigor as finance. For a bank in Frankfurt evaluating an acquisition in the German renewable energy sector, understanding the broader technological and demographic trends highlighted in</w:t>
      </w:r>
      <w:r>
        <w:t xml:space="preserve"> </w:t>
      </w:r>
      <w:r>
        <w:rPr>
          <w:iCs/>
          <w:i/>
        </w:rPr>
        <w:t xml:space="preserve">The Economist</w:t>
      </w:r>
      <w:r>
        <w:t xml:space="preserve"> </w:t>
      </w:r>
      <w:r>
        <w:t xml:space="preserve">is crucial for long-term viability assessment.</w:t>
      </w:r>
    </w:p>
    <w:bookmarkEnd w:id="25"/>
    <w:bookmarkEnd w:id="26"/>
    <w:bookmarkStart w:id="27" w:name="X4ea78baf892604dfc62dec7641410fad578b399"/>
    <w:p>
      <w:pPr>
        <w:pStyle w:val="Heading2"/>
      </w:pPr>
      <w:r>
        <w:t xml:space="preserve">4. Comparative Analysis: Local vs. Global Intelligence</w:t>
      </w:r>
    </w:p>
    <w:p>
      <w:pPr>
        <w:pStyle w:val="FirstParagraph"/>
      </w:pPr>
      <w:r>
        <w:t xml:space="preserve">To illustrate the value proposition, we compare two common information sources utilized by professionals in</w:t>
      </w:r>
      <w:r>
        <w:t xml:space="preserve"> </w:t>
      </w:r>
      <w:r>
        <w:rPr>
          <w:bCs/>
          <w:b/>
        </w:rPr>
        <w:t xml:space="preserve">Germany Frankfurt</w:t>
      </w:r>
      <w:r>
        <w:t xml:space="preserve">:</w:t>
      </w:r>
    </w:p>
    <w:p>
      <w:pPr>
        <w:pStyle w:val="BodyText"/>
      </w:pPr>
      <w:r>
        <w:rPr>
          <w:bCs/>
          <w:b/>
        </w:rPr>
        <w:t xml:space="preserve">Aspect</w:t>
      </w:r>
    </w:p>
    <w:p>
      <w:pPr>
        <w:pStyle w:val="BodyText"/>
      </w:pPr>
      <w:r>
        <w:rPr>
          <w:iCs/>
          <w:i/>
        </w:rPr>
        <w:t xml:space="preserve">The Economist</w:t>
      </w:r>
    </w:p>
    <w:p>
      <w:pPr>
        <w:pStyle w:val="BodyText"/>
      </w:pPr>
      <w:r>
        <w:rPr>
          <w:iCs/>
          <w:i/>
        </w:rPr>
        <w:t xml:space="preserve">Frankfurter Allgemeine Zeitung (FAZ) / Local Dailies</w:t>
      </w:r>
    </w:p>
    <w:p>
      <w:pPr>
        <w:pStyle w:val="BodyText"/>
      </w:pPr>
      <w:r>
        <w:t xml:space="preserve">Perspective</w:t>
      </w:r>
    </w:p>
    <w:p>
      <w:pPr>
        <w:pStyle w:val="BodyText"/>
      </w:pPr>
      <w:r>
        <w:t xml:space="preserve">Global, Western-centric but inclusive of emerging markets. Broad geopolitical scope.</w:t>
      </w:r>
    </w:p>
    <w:p>
      <w:pPr>
        <w:pStyle w:val="BodyText"/>
      </w:pPr>
      <w:r>
        <w:t xml:space="preserve">National focus. Deep dive into German domestic politics and local economic indicators.</w:t>
      </w:r>
    </w:p>
    <w:p>
      <w:pPr>
        <w:pStyle w:val="BodyText"/>
      </w:pPr>
      <w:r>
        <w:rPr>
          <w:bCs/>
          <w:b/>
        </w:rPr>
        <w:t xml:space="preserve">Data Depth</w:t>
      </w:r>
    </w:p>
    <w:p>
      <w:pPr>
        <w:pStyle w:val="BodyText"/>
      </w:pPr>
      <w:r>
        <w:t xml:space="preserve">High-level synthesis with deep analytical essays. Less raw data, more interpretation.</w:t>
      </w:r>
    </w:p>
    <w:p>
      <w:pPr>
        <w:pStyle w:val="BodyText"/>
      </w:pPr>
      <w:r>
        <w:t xml:space="preserve">High volume of raw data, daily updates on specific German companies and policies.</w:t>
      </w:r>
    </w:p>
    <w:p>
      <w:pPr>
        <w:pStyle w:val="BodyText"/>
      </w:pPr>
      <w:r>
        <w:t xml:space="preserve">Frequency</w:t>
      </w:r>
    </w:p>
    <w:p>
      <w:pPr>
        <w:pStyle w:val="BodyText"/>
      </w:pPr>
      <w:r>
        <w:t xml:space="preserve">Weekly (Deep analysis), Daily digital updates (Timely briefs).</w:t>
      </w:r>
    </w:p>
    <w:p>
      <w:pPr>
        <w:pStyle w:val="BodyText"/>
      </w:pPr>
      <w:r>
        <w:t xml:space="preserve">Daily (Immediate news coverage).</w:t>
      </w:r>
    </w:p>
    <w:p>
      <w:pPr>
        <w:pStyle w:val="BodyText"/>
      </w:pPr>
      <w:r>
        <w:rPr>
          <w:bCs/>
          <w:b/>
        </w:rPr>
        <w:t xml:space="preserve">User Profile in Frankfurt</w:t>
      </w:r>
    </w:p>
    <w:p>
      <w:pPr>
        <w:pStyle w:val="BodyText"/>
      </w:pPr>
      <w:r>
        <w:t xml:space="preserve">Chief Investment Officers, Strategic Planners, Global Macro Analysts.</w:t>
      </w:r>
    </w:p>
    <w:p>
      <w:pPr>
        <w:pStyle w:val="BodyText"/>
      </w:pPr>
      <w:r>
        <w:t xml:space="preserve">Credit Analysts, Compliance Officers, Local Relationship Managers.</w:t>
      </w:r>
    </w:p>
    <w:bookmarkEnd w:id="27"/>
    <w:bookmarkStart w:id="28" w:name="Xa22ac152e5bffca1915855004f96f3157e38943"/>
    <w:p>
      <w:pPr>
        <w:pStyle w:val="Heading2"/>
      </w:pPr>
      <w:r>
        <w:t xml:space="preserve">5. Case Example: The Green Transition Investment Strategy</w:t>
      </w:r>
    </w:p>
    <w:p>
      <w:pPr>
        <w:pStyle w:val="FirstParagraph"/>
      </w:pPr>
      <w:r>
        <w:rPr>
          <w:bCs/>
          <w:b/>
        </w:rPr>
        <w:t xml:space="preserve">The Scenario:</w:t>
      </w:r>
      <w:r>
        <w:t xml:space="preserve"> </w:t>
      </w:r>
      <w:r>
        <w:t xml:space="preserve">A mid-sized investment fund based in</w:t>
      </w:r>
      <w:r>
        <w:t xml:space="preserve"> </w:t>
      </w:r>
      <w:r>
        <w:rPr>
          <w:bCs/>
          <w:b/>
        </w:rPr>
        <w:t xml:space="preserve">Germany Frankfurt</w:t>
      </w:r>
      <w:r>
        <w:t xml:space="preserve"> </w:t>
      </w:r>
      <w:r>
        <w:t xml:space="preserve">seeks to allocate capital toward sustainable infrastructure projects in Central and Eastern Europe.</w:t>
      </w:r>
    </w:p>
    <w:p>
      <w:pPr>
        <w:pStyle w:val="BodyText"/>
      </w:pPr>
      <w:r>
        <w:rPr>
          <w:bCs/>
          <w:b/>
        </w:rPr>
        <w:t xml:space="preserve">The Application:</w:t>
      </w:r>
    </w:p>
    <w:p>
      <w:pPr>
        <w:pStyle w:val="BodyText"/>
      </w:pPr>
      <w:r>
        <w:t xml:space="preserve">Analysts used</w:t>
      </w:r>
      <w:r>
        <w:t xml:space="preserve"> </w:t>
      </w:r>
      <w:r>
        <w:rPr>
          <w:iCs/>
          <w:i/>
        </w:rPr>
        <w:t xml:space="preserve">The Economist</w:t>
      </w:r>
    </w:p>
    <w:p>
      <w:pPr>
        <w:pStyle w:val="BodyText"/>
      </w:pPr>
      <w:r>
        <w:rPr>
          <w:bCs/>
          <w:b/>
        </w:rPr>
        <w:t xml:space="preserve">The Outcome:</w:t>
      </w:r>
    </w:p>
    <w:p>
      <w:pPr>
        <w:pStyle w:val="BodyText"/>
      </w:pPr>
      <w:r>
        <w:t xml:space="preserve">By incorporating this broader, globally-informed perspective provided by</w:t>
      </w:r>
      <w:r>
        <w:t xml:space="preserve"> </w:t>
      </w:r>
      <w:r>
        <w:rPr>
          <w:iCs/>
          <w:i/>
        </w:rPr>
        <w:t xml:space="preserve">The Economist</w:t>
      </w:r>
      <w:r>
        <w:t xml:space="preserve">, the fund identified undervalued assets in the Polish renewable sector three months before a broader market correction. This strategic foresight, driven by global rather than purely local intelligence, resulted in a 15% alpha generation over their benchmark.</w:t>
      </w:r>
    </w:p>
    <w:bookmarkEnd w:id="28"/>
    <w:bookmarkStart w:id="29" w:name="conclusion-and-recommendations"/>
    <w:p>
      <w:pPr>
        <w:pStyle w:val="Heading2"/>
      </w:pPr>
      <w:r>
        <w:t xml:space="preserve">6. Conclusion and Recommendations</w:t>
      </w:r>
    </w:p>
    <w:p>
      <w:pPr>
        <w:pStyle w:val="FirstParagraph"/>
      </w:pPr>
      <w:r>
        <w:t xml:space="preserve">The case study clearly demonstrates that for professionals operating in</w:t>
      </w:r>
      <w:r>
        <w:t xml:space="preserve"> </w:t>
      </w:r>
      <w:r>
        <w:rPr>
          <w:bCs/>
          <w:b/>
        </w:rPr>
        <w:t xml:space="preserve">Germany Frankfurt</w:t>
      </w:r>
      <w:r>
        <w:t xml:space="preserve">, reliance on local news sources alone is insufficient for navigating the complexities of modern global finance. While domestic data is critical, the strategic advantage lies in synthesis and context.</w:t>
      </w:r>
    </w:p>
    <w:p>
      <w:pPr>
        <w:pStyle w:val="BodyText"/>
      </w:pPr>
      <w:r>
        <w:rPr>
          <w:iCs/>
          <w:i/>
        </w:rPr>
        <w:t xml:space="preserve">The Economist</w:t>
      </w:r>
      <w:r>
        <w:t xml:space="preserve"> </w:t>
      </w:r>
      <w:r>
        <w:t xml:space="preserve">provides this synthesis. It acts as a bridge between isolated national events and their global economic implications. For investment banks, asset managers, and corporate strategists in Frankfurt, subscribing to and actively engaging with</w:t>
      </w:r>
      <w:r>
        <w:t xml:space="preserve"> </w:t>
      </w:r>
      <w:r>
        <w:rPr>
          <w:iCs/>
          <w:i/>
        </w:rPr>
        <w:t xml:space="preserve">The Economist</w:t>
      </w:r>
      <w:r>
        <w:t xml:space="preserve"> </w:t>
      </w:r>
      <w:r>
        <w:t xml:space="preserve">is not just about staying informed; it is about maintaining a competitive edge through superior macroeconomic foresight.</w:t>
      </w:r>
    </w:p>
    <w:p>
      <w:pPr>
        <w:pStyle w:val="BodyText"/>
      </w:pPr>
      <w:r>
        <w:rPr>
          <w:bCs/>
          <w:b/>
        </w:rPr>
        <w:t xml:space="preserve">Recommendation:</w:t>
      </w:r>
      <w:r>
        <w:t xml:space="preserve"> </w:t>
      </w:r>
      <w:r>
        <w:t xml:space="preserve">Institutions in</w:t>
      </w:r>
      <w:r>
        <w:t xml:space="preserve"> </w:t>
      </w:r>
      <w:r>
        <w:rPr>
          <w:bCs/>
          <w:b/>
        </w:rPr>
        <w:t xml:space="preserve">Germany Frankfurt</w:t>
      </w:r>
      <w:r>
        <w:t xml:space="preserve">The Economist. This includes providing digital access to all senior decision-makers, incorporating key articles from the publication into weekly strategy meetings, and leveraging its data visualizations for client presentations. In a city defined by its role as a gateway to global markets, the ability to think globally is paramount.</w:t>
      </w:r>
    </w:p>
    <w:p>
      <w:r>
        <w:pict>
          <v:rect style="width:0;height:1.5pt" o:hralign="center" o:hrstd="t" o:hr="t"/>
        </w:pict>
      </w:r>
    </w:p>
    <w:p>
      <w:pPr>
        <w:pStyle w:val="FirstParagraph"/>
      </w:pPr>
      <w:r>
        <w:rPr>
          <w:bCs/>
          <w:b/>
          <w:iCs/>
          <w:i/>
        </w:rPr>
        <w:t xml:space="preserve">Disclaimer:</w:t>
      </w:r>
      <w:r>
        <w:rPr>
          <w:iCs/>
          <w:i/>
        </w:rPr>
        <w:t xml:space="preserve"> </w:t>
      </w:r>
      <w:r>
        <w:rPr>
          <w:iCs/>
          <w:i/>
        </w:rPr>
        <w:t xml:space="preserve">This case study is for illustrative purposes only and reflects general industry practices regarding information consumption in financial hubs. Specific investment outcomes may vary.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Economic Intelligence in Germany Frankfurt</dc:title>
  <dc:creator/>
  <dc:language>en</dc:language>
  <cp:keywords/>
  <dcterms:created xsi:type="dcterms:W3CDTF">2026-07-29T12:55:08Z</dcterms:created>
  <dcterms:modified xsi:type="dcterms:W3CDTF">2026-07-29T12:55:08Z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