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Economist</w:t>
      </w:r>
      <w:r>
        <w:t xml:space="preserve"> </w:t>
      </w:r>
      <w:r>
        <w:t xml:space="preserve">Intelligence</w:t>
      </w:r>
      <w:r>
        <w:t xml:space="preserve"> </w:t>
      </w:r>
      <w:r>
        <w:t xml:space="preserve">Unit</w:t>
      </w:r>
      <w:r>
        <w:t xml:space="preserve"> </w:t>
      </w:r>
      <w:r>
        <w:t xml:space="preserve">Solutions</w:t>
      </w:r>
      <w:r>
        <w:t xml:space="preserve"> </w:t>
      </w:r>
      <w:r>
        <w:t xml:space="preserve">in</w:t>
      </w:r>
      <w:r>
        <w:t xml:space="preserve"> </w:t>
      </w:r>
      <w:r>
        <w:t xml:space="preserve">Iran,</w:t>
      </w:r>
      <w:r>
        <w:t xml:space="preserve"> </w:t>
      </w:r>
      <w:r>
        <w:t xml:space="preserve">Tehran</w:t>
      </w:r>
    </w:p>
    <w:bookmarkStart w:id="28" w:name="Xf5be92f4d3cf661d289ff9172d891b471a92cae"/>
    <w:p>
      <w:pPr>
        <w:pStyle w:val="Heading1"/>
      </w:pPr>
      <w:r>
        <w:t xml:space="preserve">Strategic Intelligence in a Complex Market: A Case Study on Deploying Economist Intelligence Unit (EIU) Services in Iran, Tehran</w:t>
      </w:r>
    </w:p>
    <w:p>
      <w:pPr>
        <w:pStyle w:val="FirstParagraph"/>
      </w:pPr>
      <w:r>
        <w:rPr>
          <w:bCs/>
          <w:b/>
        </w:rPr>
        <w:t xml:space="preserve">Date:</w:t>
      </w:r>
      <w:r>
        <w:t xml:space="preserve"> </w:t>
      </w:r>
      <w:r>
        <w:t xml:space="preserve">October 26, 2023</w:t>
      </w:r>
      <w:r>
        <w:br/>
      </w:r>
      <w:r>
        <w:rPr>
          <w:bCs/>
          <w:b/>
        </w:rPr>
        <w:t xml:space="preserve">Subject:</w:t>
      </w:r>
      <w:r>
        <w:t xml:space="preserve">The strategic integration of global macroeconomic risk assessment tools within the regulatory and economic constraints of Tehran.</w:t>
      </w:r>
    </w:p>
    <w:p>
      <w:pPr>
        <w:pStyle w:val="BodyText"/>
      </w:pPr>
      <w:r>
        <w:rPr>
          <w:bCs/>
          <w:b/>
          <w:iCs/>
          <w:i/>
        </w:rPr>
        <w:t xml:space="preserve">Preface on Terminology:</w:t>
      </w:r>
      <w:r>
        <w:rPr>
          <w:iCs/>
          <w:i/>
        </w:rPr>
        <w:t xml:space="preserve"> </w:t>
      </w:r>
      <w:r>
        <w:rPr>
          <w:iCs/>
          <w:i/>
        </w:rPr>
        <w:t xml:space="preserve">In this document, the term "Economist" refers specifically to the Economist Intelligence Unit (EIU), a leading provider of corporate risk assessment and country analysis. The geographic focus is strictly limited to Tehran, Iran, representing both a unique consumer market and a complex geopolitical hub. This Case Study analyzes how multinational entities utilize "Economist" data services to navigate the specific challenges present in "Iran, Tehran."</w:t>
      </w:r>
    </w:p>
    <w:bookmarkStart w:id="20" w:name="executive-summary"/>
    <w:p>
      <w:pPr>
        <w:pStyle w:val="Heading2"/>
      </w:pPr>
      <w:r>
        <w:t xml:space="preserve">1. Executive Summary</w:t>
      </w:r>
    </w:p>
    <w:p>
      <w:pPr>
        <w:pStyle w:val="FirstParagraph"/>
      </w:pPr>
      <w:r>
        <w:t xml:space="preserve">Tehran stands as one of the most critical yet challenging markets for global business operations. Located in Iran, this metropolitan hub possesses a young, educated population and significant purchasing power relative to regional neighbors. However, operating within Tehran requires navigating a labyrinth of international sanctions, volatile currency exchange rates, and distinct cultural business norms. This Case Study explores how organizations use the Economist Intelligence Unit (EIU)—often referred to simply as "The Economist" in risk management contexts—to de-risk their entry and expansion strategies in Iran’s capital city.</w:t>
      </w:r>
    </w:p>
    <w:bookmarkEnd w:id="20"/>
    <w:bookmarkStart w:id="21" w:name="X562ddaaddf5f1e245487ca941aff239b9db186c"/>
    <w:p>
      <w:pPr>
        <w:pStyle w:val="Heading2"/>
      </w:pPr>
      <w:r>
        <w:t xml:space="preserve">2. Contextual Background: The Tehran Market Dynamics</w:t>
      </w:r>
    </w:p>
    <w:p>
      <w:pPr>
        <w:pStyle w:val="FirstParagraph"/>
      </w:pPr>
      <w:r>
        <w:t xml:space="preserve">To understand the necessity of high-quality intelligence, one must first understand the environment. Tehran is not merely a city; it is an economic engine that drives approximately 30% of Iran's national GDP. However, for international entities looking to engage in trade, joint ventures, or supply chain logistics with partners based in Tehran, the data landscape is fragmented.</w:t>
      </w:r>
    </w:p>
    <w:p>
      <w:pPr>
        <w:pStyle w:val="BodyText"/>
      </w:pPr>
      <w:r>
        <w:t xml:space="preserve">The primary challenge lies in the opacity of local financial data and the sudden shifts caused by geopolitical developments. Traditional local news sources often lack objectivity or depth regarding macroeconomic indicators such as inflation projections, foreign exchange reserve trends, and regulatory changes affecting import/export licenses. Consequently, decision-makers require an independent third party to interpret these signals.</w:t>
      </w:r>
    </w:p>
    <w:bookmarkEnd w:id="21"/>
    <w:bookmarkStart w:id="22" w:name="Xfcf155c142a7a97296a3ff37820b526062540cf"/>
    <w:p>
      <w:pPr>
        <w:pStyle w:val="Heading2"/>
      </w:pPr>
      <w:r>
        <w:t xml:space="preserve">3. The Role of the Economist Intelligence Unit (EIU)</w:t>
      </w:r>
    </w:p>
    <w:p>
      <w:pPr>
        <w:pStyle w:val="FirstParagraph"/>
      </w:pPr>
      <w:r>
        <w:t xml:space="preserve">The "Economist" brand is synonymous with rigorous political and economic analysis. For companies targeting Tehran, the EIU provides several critical pillars of support:</w:t>
      </w:r>
    </w:p>
    <w:p>
      <w:pPr>
        <w:numPr>
          <w:ilvl w:val="0"/>
          <w:numId w:val="1001"/>
        </w:numPr>
        <w:pStyle w:val="Compact"/>
      </w:pPr>
      <w:r>
        <w:rPr>
          <w:bCs/>
          <w:b/>
        </w:rPr>
        <w:t xml:space="preserve">Country Risk Ratings:</w:t>
      </w:r>
      <w:r>
        <w:t xml:space="preserve"> </w:t>
      </w:r>
      <w:r>
        <w:t xml:space="preserve">The EIU’s Country Risk Service offers a quantifiable score for Iran, specifically breaking down risks associated with political stability in Tehran versus provincial unrest. This helps investors understand where their capital is safest.</w:t>
      </w:r>
    </w:p>
    <w:p>
      <w:pPr>
        <w:numPr>
          <w:ilvl w:val="0"/>
          <w:numId w:val="1001"/>
        </w:numPr>
        <w:pStyle w:val="Compact"/>
      </w:pPr>
      <w:r>
        <w:rPr>
          <w:bCs/>
          <w:b/>
        </w:rPr>
        <w:t xml:space="preserve">Country Forecasts:</w:t>
      </w:r>
      <w:r>
        <w:t xml:space="preserve"> </w:t>
      </w:r>
      <w:r>
        <w:t xml:space="preserve">Monthly and quarterly forecasts provide projections for GDP growth, inflation, and budget balance. For firms operating in Tehran, accurate inflation data is crucial for pricing strategies and contract valuation.</w:t>
      </w:r>
    </w:p>
    <w:p>
      <w:pPr>
        <w:numPr>
          <w:ilvl w:val="0"/>
          <w:numId w:val="1001"/>
        </w:numPr>
        <w:pStyle w:val="Compact"/>
      </w:pPr>
      <w:r>
        <w:rPr>
          <w:bCs/>
          <w:b/>
        </w:rPr>
        <w:t xml:space="preserve">Cultural Intelligence Reports:</w:t>
      </w:r>
      <w:r>
        <w:t xml:space="preserve"> </w:t>
      </w:r>
      <w:r>
        <w:t xml:space="preserve">Understanding the business culture of Tehran is distinct from understanding rural Iran or neighboring countries. EIU reports detail negotiation styles, hierarchy structures, and communication preferences specific to Iranian corporate culture.</w:t>
      </w:r>
    </w:p>
    <w:bookmarkEnd w:id="22"/>
    <w:bookmarkStart w:id="23" w:name="Xd29bb1dabaa93aa31f0ed9e24e5aa3a690e67ce"/>
    <w:p>
      <w:pPr>
        <w:pStyle w:val="Heading2"/>
      </w:pPr>
      <w:r>
        <w:t xml:space="preserve">4. Case Scenario: A Multinational Logistics Firm Expanding into Tehran</w:t>
      </w:r>
    </w:p>
    <w:p>
      <w:pPr>
        <w:pStyle w:val="FirstParagraph"/>
      </w:pPr>
      <w:r>
        <w:rPr>
          <w:bCs/>
          <w:b/>
        </w:rPr>
        <w:t xml:space="preserve">The Challenge:</w:t>
      </w:r>
      <w:r>
        <w:br/>
      </w:r>
      <w:r>
        <w:t xml:space="preserve">"GlobalTrans," a hypothetical multinational logistics provider, intended to establish a regional hub in Tehran to facilitate trade between Central Asia and the Persian Gulf. The board required assurance that the operational risks in Iran were manageable and that long-term profitability was viable despite external pressures.</w:t>
      </w:r>
    </w:p>
    <w:p>
      <w:pPr>
        <w:pStyle w:val="BodyText"/>
      </w:pPr>
      <w:r>
        <w:rPr>
          <w:bCs/>
          <w:b/>
        </w:rPr>
        <w:t xml:space="preserve">The Application of Economist Data:</w:t>
      </w:r>
      <w:r>
        <w:br/>
      </w:r>
      <w:r>
        <w:t xml:space="preserve">GlobalTrans subscribed to the EIU’s Premium Service. They utilized specific modules relevant to "Iran, Tehran" in the following ways:</w:t>
      </w:r>
    </w:p>
    <w:p>
      <w:pPr>
        <w:numPr>
          <w:ilvl w:val="0"/>
          <w:numId w:val="1002"/>
        </w:numPr>
        <w:pStyle w:val="Compact"/>
      </w:pPr>
      <w:r>
        <w:rPr>
          <w:bCs/>
          <w:b/>
        </w:rPr>
        <w:t xml:space="preserve">Sanctions Compliance Mapping:</w:t>
      </w:r>
      <w:r>
        <w:t xml:space="preserve"> </w:t>
      </w:r>
      <w:r>
        <w:t xml:space="preserve">Using EIU’s political risk analysis, GlobalTrans identified which economic sectors were currently exempt from international sanctions. This prevented costly legal missteps and ensured that their supply chain routes through Tehran’s ports remained viable.</w:t>
      </w:r>
    </w:p>
    <w:p>
      <w:pPr>
        <w:numPr>
          <w:ilvl w:val="0"/>
          <w:numId w:val="1002"/>
        </w:numPr>
        <w:pStyle w:val="Compact"/>
      </w:pPr>
      <w:r>
        <w:rPr>
          <w:bCs/>
          <w:b/>
        </w:rPr>
        <w:t xml:space="preserve">Currency Hedging Strategies:</w:t>
      </w:r>
      <w:r>
        <w:t xml:space="preserve"> </w:t>
      </w:r>
      <w:r>
        <w:t xml:space="preserve">The Iranian Rial has experienced significant volatility. The Economist’s quarterly forecasts on currency devaluation allowed GlobalTrans to hedge effectively against the loss of value in local transactions, protecting their profit margins.</w:t>
      </w:r>
    </w:p>
    <w:p>
      <w:pPr>
        <w:numPr>
          <w:ilvl w:val="0"/>
          <w:numId w:val="1002"/>
        </w:numPr>
        <w:pStyle w:val="Compact"/>
      </w:pPr>
      <w:r>
        <w:rPr>
          <w:bCs/>
          <w:b/>
        </w:rPr>
        <w:t xml:space="preserve">Petrol and Energy Cost Projections:</w:t>
      </w:r>
      <w:r>
        <w:t xml:space="preserve"> </w:t>
      </w:r>
      <w:r>
        <w:t xml:space="preserve">As a logistics firm, fuel costs are paramount. EIU reports provided insights into government subsidies and potential fuel price hikes in Tehran, allowing for accurate budgeting.</w:t>
      </w:r>
    </w:p>
    <w:bookmarkEnd w:id="23"/>
    <w:bookmarkStart w:id="24" w:name="critical-analysis-of-findings"/>
    <w:p>
      <w:pPr>
        <w:pStyle w:val="Heading2"/>
      </w:pPr>
      <w:r>
        <w:t xml:space="preserve">5. Critical Analysis of Findings</w:t>
      </w:r>
    </w:p>
    <w:p>
      <w:pPr>
        <w:pStyle w:val="FirstParagraph"/>
      </w:pPr>
      <w:r>
        <w:t xml:space="preserve">The integration of "Economist" intelligence revealed three key realities about doing business in Tehran:</w:t>
      </w:r>
    </w:p>
    <w:p>
      <w:pPr>
        <w:pStyle w:val="BodyText"/>
      </w:pPr>
      <w:r>
        <w:rPr>
          <w:bCs/>
          <w:b/>
        </w:rPr>
        <w:t xml:space="preserve">A. The Decoupling of Local and Global Narratives:</w:t>
      </w:r>
      <w:r>
        <w:br/>
      </w:r>
      <w:r>
        <w:t xml:space="preserve">While international headlines focused on geopolitical tensions, EIU data showed that daily commercial life in Tehran continued with a surprising degree of normalcy for non-sanctioned sectors. This distinction was vital for GlobalTrans to avoid overestimating operational disruptions.</w:t>
      </w:r>
    </w:p>
    <w:p>
      <w:pPr>
        <w:pStyle w:val="BodyText"/>
      </w:pPr>
      <w:r>
        <w:rPr>
          <w:bCs/>
          <w:b/>
        </w:rPr>
        <w:t xml:space="preserve">B. The Importance of Local Partners:</w:t>
      </w:r>
      <w:r>
        <w:br/>
      </w:r>
      <w:r>
        <w:t xml:space="preserve">The Country Report highlighted that foreign entities rarely succeed in isolation in Iran. Successful entry into the Tehran market required a strong local joint venture partner. EIU’s database of corporate profiles helped GlobalTrans identify reputable Iranian counterparts who had previous experience navigating regulatory hurdles.</w:t>
      </w:r>
    </w:p>
    <w:p>
      <w:pPr>
        <w:pStyle w:val="BodyText"/>
      </w:pPr>
      <w:r>
        <w:rPr>
          <w:bCs/>
          <w:b/>
        </w:rPr>
        <w:t xml:space="preserve">C. Inflation as a Constant Variable:</w:t>
      </w:r>
      <w:r>
        <w:br/>
      </w:r>
      <w:r>
        <w:t xml:space="preserve">The Economist’s data confirmed that inflation in Tehran is structurally high (often exceeding 40% annually). This necessitated dynamic pricing models rather than static long-term contracts. By relying on EIU forecasts, GlobalTrans built flexibility into their service agreements to adjust prices quarterly.</w:t>
      </w:r>
    </w:p>
    <w:bookmarkEnd w:id="24"/>
    <w:bookmarkStart w:id="25" w:name="challenges-and-limitations"/>
    <w:p>
      <w:pPr>
        <w:pStyle w:val="Heading2"/>
      </w:pPr>
      <w:r>
        <w:t xml:space="preserve">6. Challenges and Limitations</w:t>
      </w:r>
    </w:p>
    <w:p>
      <w:pPr>
        <w:pStyle w:val="FirstParagraph"/>
      </w:pPr>
      <w:r>
        <w:t xml:space="preserve">No intelligence tool is perfect. In the context of Iran, even "The Economist" faces challenges:</w:t>
      </w:r>
    </w:p>
    <w:p>
      <w:pPr>
        <w:numPr>
          <w:ilvl w:val="0"/>
          <w:numId w:val="1003"/>
        </w:numPr>
        <w:pStyle w:val="Compact"/>
      </w:pPr>
      <w:r>
        <w:rPr>
          <w:bCs/>
          <w:b/>
        </w:rPr>
        <w:t xml:space="preserve">Data Latency:</w:t>
      </w:r>
      <w:r>
        <w:t xml:space="preserve"> </w:t>
      </w:r>
      <w:r>
        <w:t xml:space="preserve">Due to limited internet connectivity and reporting restrictions in parts of Iran, real-time data on street-level economic activity can sometimes lag behind actual events.</w:t>
      </w:r>
    </w:p>
    <w:bookmarkEnd w:id="25"/>
    <w:bookmarkStart w:id="26" w:name="strategic-recommendations"/>
    <w:p>
      <w:pPr>
        <w:pStyle w:val="Heading2"/>
      </w:pPr>
      <w:r>
        <w:t xml:space="preserve">7. Strategic Recommendations</w:t>
      </w:r>
    </w:p>
    <w:p>
      <w:pPr>
        <w:pStyle w:val="FirstParagraph"/>
      </w:pPr>
      <w:r>
        <w:t xml:space="preserve">Based on this Case Study, any organization looking to engage with the "Iran, Tehran" market should adopt the following strategy:</w:t>
      </w:r>
    </w:p>
    <w:p>
      <w:pPr>
        <w:numPr>
          <w:ilvl w:val="0"/>
          <w:numId w:val="1004"/>
        </w:numPr>
        <w:pStyle w:val="Compact"/>
      </w:pPr>
      <w:r>
        <w:rPr>
          <w:bCs/>
          <w:b/>
        </w:rPr>
        <w:t xml:space="preserve">Prioritize Political Risk Over Pure Economic Metrics:</w:t>
      </w:r>
      <w:r>
        <w:t xml:space="preserve"> </w:t>
      </w:r>
      <w:r>
        <w:t xml:space="preserve">In Tehran, political decisions can override economic logic. Use EIU’s political risk scores to time your entry and exit strategies.</w:t>
      </w:r>
    </w:p>
    <w:p>
      <w:pPr>
        <w:numPr>
          <w:ilvl w:val="0"/>
          <w:numId w:val="1004"/>
        </w:numPr>
        <w:pStyle w:val="Compact"/>
      </w:pPr>
      <w:r>
        <w:rPr>
          <w:bCs/>
          <w:b/>
        </w:rPr>
        <w:t xml:space="preserve">Diversify Supply Chains:</w:t>
      </w:r>
      <w:r>
        <w:t xml:space="preserve"> </w:t>
      </w:r>
      <w:r>
        <w:t xml:space="preserve">Do not rely solely on Tehran as a hub. Use Economist data to identify alternative ports or land borders that offer more stability during periods of regional tension.</w:t>
      </w:r>
    </w:p>
    <w:p>
      <w:pPr>
        <w:numPr>
          <w:ilvl w:val="0"/>
          <w:numId w:val="1004"/>
        </w:numPr>
        <w:pStyle w:val="Compact"/>
      </w:pPr>
      <w:r>
        <w:rPr>
          <w:bCs/>
          <w:b/>
        </w:rPr>
        <w:t xml:space="preserve">Invest in Cultural Due Diligence:</w:t>
      </w:r>
      <w:r>
        <w:t xml:space="preserve"> </w:t>
      </w:r>
      <w:r>
        <w:t xml:space="preserve">Business in Iran is relationship-based. Utilize EIU’s cultural intelligence to train your expatriate staff on the nuances of Iranian etiquette, which is crucial for maintaining good standing with local partners in Tehran.</w:t>
      </w:r>
    </w:p>
    <w:bookmarkEnd w:id="26"/>
    <w:bookmarkStart w:id="27" w:name="conclusion"/>
    <w:p>
      <w:pPr>
        <w:pStyle w:val="Heading2"/>
      </w:pPr>
      <w:r>
        <w:t xml:space="preserve">8. Conclusion</w:t>
      </w:r>
    </w:p>
    <w:p>
      <w:pPr>
        <w:pStyle w:val="FirstParagraph"/>
      </w:pPr>
      <w:r>
        <w:t xml:space="preserve">Tehran represents a high-reward, high-risk environment where traditional business models often fail without specialized knowledge. The "Economist" Intelligence Unit provides the necessary scaffolding for companies to understand this complexity. By leveraging comprehensive data on political stability, economic forecasts, and cultural norms specific to "Iran," businesses can mitigate risks that are often invisible in standard market analyses.</w:t>
      </w:r>
    </w:p>
    <w:p>
      <w:pPr>
        <w:pStyle w:val="BodyText"/>
      </w:pPr>
      <w:r>
        <w:t xml:space="preserve">The case of GlobalTrans demonstrates that when "The Economist" is used not just as a news source but as a strategic planning tool, it transforms the ambiguous landscape of Tehran into a navigable, albeit challenging, commercial frontier. For any entity serious about engaging with Iran’s capital, integrating EIU insights is not merely an option—it is a prerequisite for sustainable operation.</w:t>
      </w:r>
    </w:p>
    <w:p>
      <w:pPr>
        <w:pStyle w:val="BodyText"/>
      </w:pPr>
      <w:r>
        <w:rPr>
          <w:iCs/>
          <w:i/>
        </w:rPr>
        <w:t xml:space="preserve">Note: This document serves as an educational case study regarding the application of economic intelligence services. It does not constitute legal or financial advice. Compliance with all international sanctions and local Iranian laws is the sole responsibility of the operating entity.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Economist Intelligence Unit Solutions in Iran, Tehran</dc:title>
  <dc:creator/>
  <dc:language>en</dc:language>
  <cp:keywords/>
  <dcterms:created xsi:type="dcterms:W3CDTF">2026-07-29T06:44:18Z</dcterms:created>
  <dcterms:modified xsi:type="dcterms:W3CDTF">2026-07-29T06:44:18Z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