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Moscow</w:t>
      </w:r>
    </w:p>
    <w:bookmarkStart w:id="26" w:name="X9748dc3a5764d1a94870ad89f0f06ac93aacf2d"/>
    <w:p>
      <w:pPr>
        <w:pStyle w:val="Heading1"/>
      </w:pPr>
      <w:r>
        <w:t xml:space="preserve">The Analyst as Diplomat and Realist:</w:t>
      </w:r>
      <w:r>
        <w:br/>
      </w:r>
      <w:r>
        <w:t xml:space="preserve">A Case Study of</w:t>
      </w:r>
      <w:r>
        <w:t xml:space="preserve"> </w:t>
      </w:r>
      <w:r>
        <w:rPr>
          <w:iCs/>
          <w:i/>
        </w:rPr>
        <w:t xml:space="preserve">The Economist</w:t>
      </w:r>
      <w:r>
        <w:br/>
      </w:r>
      <w:r>
        <w:t xml:space="preserve">In Russia, Moscow (2014-2nd Quarter 2018)</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Media Strategy and Geopolitical Navigation</w:t>
      </w:r>
      <w:r>
        <w:br/>
      </w:r>
      <w:r>
        <w:rPr>
          <w:bCs/>
          <w:b/>
        </w:rPr>
        <w:t xml:space="preserve">Premise:</w:t>
      </w:r>
      <w:r>
        <w:t xml:space="preserve">An examination of how a liberal internationalist publication maintained relevance, integrity, and operational viability within the geopolitical epicenter of a sanctioned superpower.</w:t>
      </w:r>
    </w:p>
    <w:bookmarkStart w:id="20" w:name="i.-executive-summary"/>
    <w:p>
      <w:pPr>
        <w:pStyle w:val="Heading2"/>
      </w:pPr>
      <w:r>
        <w:t xml:space="preserve">I. Executive Summary</w:t>
      </w:r>
    </w:p>
    <w:p>
      <w:pPr>
        <w:pStyle w:val="FirstParagraph"/>
      </w:pPr>
      <w:r>
        <w:t xml:space="preserve">This case study explores the complex operational history of</w:t>
      </w:r>
      <w:r>
        <w:t xml:space="preserve"> </w:t>
      </w:r>
      <w:r>
        <w:rPr>
          <w:iCs/>
          <w:i/>
        </w:rPr>
        <w:t xml:space="preserve">The Economist</w:t>
      </w:r>
      <w:r>
        <w:t xml:space="preserve"> </w:t>
      </w:r>
      <w:r>
        <w:t xml:space="preserve">in Russia, specifically focusing on its presence and readership in Moscow between 2014 and mid-2018. This period represents a critical juncture in modern Russian history, characterized by the annexation of Crimea, severe international sanctions, rising anti-Western rhetoric from the Kremlin, and increasing restrictions on independent media. Despite these hostile environmental conditions,</w:t>
      </w:r>
      <w:r>
        <w:t xml:space="preserve"> </w:t>
      </w:r>
      <w:r>
        <w:rPr>
          <w:iCs/>
          <w:i/>
        </w:rPr>
        <w:t xml:space="preserve">The Economist</w:t>
      </w:r>
      <w:r>
        <w:t xml:space="preserve"> </w:t>
      </w:r>
      <w:r>
        <w:t xml:space="preserve">managed to maintain a dedicated readership among Moscow’s elite and intelligentsia. This document analyzes how</w:t>
      </w:r>
      <w:r>
        <w:t xml:space="preserve"> </w:t>
      </w:r>
      <w:r>
        <w:rPr>
          <w:iCs/>
          <w:i/>
        </w:rPr>
        <w:t xml:space="preserve">The Economist</w:t>
      </w:r>
      <w:r>
        <w:t xml:space="preserve"> </w:t>
      </w:r>
      <w:r>
        <w:t xml:space="preserve">navigated the tension between its editorial mandate for liberal free-market principles and the authoritarian realities of its primary Russian market, offering valuable lessons on global journalism in adversarial climates.</w:t>
      </w:r>
    </w:p>
    <w:bookmarkEnd w:id="20"/>
    <w:bookmarkStart w:id="21" w:name="Xe83be5b13b471417736da376b78563df63ca6de"/>
    <w:p>
      <w:pPr>
        <w:pStyle w:val="Heading2"/>
      </w:pPr>
      <w:r>
        <w:t xml:space="preserve">II. Historical Context: The Moscow Market Landscape</w:t>
      </w:r>
    </w:p>
    <w:p>
      <w:pPr>
        <w:pStyle w:val="FirstParagraph"/>
      </w:pPr>
      <w:r>
        <w:t xml:space="preserve">Moscow has historically been a unique publishing landscape for international business magazines. In the 1990s, following the collapse of the Soviet Union, there was an insatiable appetite for Western economic models and political analysis.</w:t>
      </w:r>
      <w:r>
        <w:t xml:space="preserve"> </w:t>
      </w:r>
      <w:r>
        <w:rPr>
          <w:iCs/>
          <w:i/>
        </w:rPr>
        <w:t xml:space="preserve">The Economist</w:t>
      </w:r>
      <w:r>
        <w:t xml:space="preserve">, with its distinctive purple branding and focus on data-driven liberalism, found a natural audience among Moscow’s new oligarchs, bankers, diplomats stationed in Russia,</w:t>
      </w:r>
      <w:r>
        <w:br/>
      </w:r>
      <w:r>
        <w:t xml:space="preserve">and academics at institutions like the Higher School of Economics (HSE).</w:t>
      </w:r>
      <w:r>
        <w:t xml:space="preserve"> </w:t>
      </w:r>
      <w:r>
        <w:t xml:space="preserve">However, the geopolitical tectonic plates shifted dramatically in 2014. The annexation of Crimea and the conflict in Donbas led to Western sanctions against Russia and a corresponding nationalist backlash within Russian state media. Independent journalism became increasingly stigmatized, with outlets often labeled as "foreign agents." In this environment, Moscow transitioned from being an open market for global ideas to a fortified information space where external narratives were viewed with suspicion.</w:t>
      </w:r>
    </w:p>
    <w:bookmarkEnd w:id="21"/>
    <w:bookmarkStart w:id="22" w:name="Xac9ceac88f61629f554d7dc2639afce80dba611"/>
    <w:p>
      <w:pPr>
        <w:pStyle w:val="Heading2"/>
      </w:pPr>
      <w:r>
        <w:t xml:space="preserve">III. Strategic Challenge: Navigating the Ideological Chasm</w:t>
      </w:r>
    </w:p>
    <w:p>
      <w:pPr>
        <w:pStyle w:val="FirstParagraph"/>
      </w:pPr>
      <w:r>
        <w:t xml:space="preserve">The core challenge facing</w:t>
      </w:r>
      <w:r>
        <w:t xml:space="preserve"> </w:t>
      </w:r>
      <w:r>
        <w:rPr>
          <w:iCs/>
          <w:i/>
        </w:rPr>
        <w:t xml:space="preserve">The Economist</w:t>
      </w:r>
      <w:r>
        <w:t xml:space="preserve"> </w:t>
      </w:r>
      <w:r>
        <w:t xml:space="preserve">in Moscow was ideological dissonance. The magazine’s brand identity is rooted in classical liberalism, advocating for free trade, open borders, democratic governance, and global integration—principles that directly contradicted the increasingly protectionist and isolationist policies promoted by the Russian state under Vladimir Putin.</w:t>
      </w:r>
      <w:r>
        <w:t xml:space="preserve"> </w:t>
      </w:r>
      <w:r>
        <w:rPr>
          <w:bCs/>
          <w:b/>
        </w:rPr>
        <w:t xml:space="preserve">A. Maintaining Editorial Independence</w:t>
      </w:r>
      <w:r>
        <w:t xml:space="preserve"> </w:t>
      </w:r>
      <w:r>
        <w:t xml:space="preserve">To survive in Moscow without becoming a propaganda tool or a target for closure,</w:t>
      </w:r>
      <w:r>
        <w:br/>
      </w:r>
      <w:r>
        <w:rPr>
          <w:iCs/>
          <w:i/>
        </w:rPr>
        <w:t xml:space="preserve">The Economist</w:t>
      </w:r>
      <w:r>
        <w:t xml:space="preserve"> </w:t>
      </w:r>
      <w:r>
        <w:t xml:space="preserve">had to adhere strictly to its global editorial guidelines. This meant continuing to critique authoritarianism and human rights violations, even when doing so risked alienating the very readers it sought to engage. The strategy relied on the premise that Moscow’s elite valued objective analysis over flattering narratives. By providing rigorous economic data and geopolitical foresight,</w:t>
      </w:r>
      <w:r>
        <w:br/>
      </w:r>
      <w:r>
        <w:rPr>
          <w:iCs/>
          <w:i/>
        </w:rPr>
        <w:t xml:space="preserve">The Economist</w:t>
      </w:r>
      <w:r>
        <w:t xml:space="preserve"> </w:t>
      </w:r>
      <w:r>
        <w:t xml:space="preserve">positioned itself not as a political activist, but as an indispensable analytical tool for decision-makers who needed to understand the true nature of international relations despite state propaganda.</w:t>
      </w:r>
      <w:r>
        <w:t xml:space="preserve"> </w:t>
      </w:r>
      <w:r>
        <w:rPr>
          <w:bCs/>
          <w:b/>
        </w:rPr>
        <w:t xml:space="preserve">B. The Role of Data Over Opinion</w:t>
      </w:r>
      <w:r>
        <w:t xml:space="preserve"> </w:t>
      </w:r>
      <w:r>
        <w:t xml:space="preserve">One key tactical success was leveraging</w:t>
      </w:r>
      <w:r>
        <w:t xml:space="preserve"> </w:t>
      </w:r>
      <w:r>
        <w:rPr>
          <w:iCs/>
          <w:i/>
        </w:rPr>
        <w:t xml:space="preserve">The Economist’s</w:t>
      </w:r>
      <w:r>
        <w:t xml:space="preserve"> </w:t>
      </w:r>
      <w:r>
        <w:t xml:space="preserve">strength in data visualization and economic forecasting. In Moscow,</w:t>
      </w:r>
      <w:r>
        <w:br/>
      </w:r>
      <w:r>
        <w:t xml:space="preserve">where political rhetoric often obscured economic reality, the magazine’s charts and figures provided a neutral ground for debate among business leaders who needed to plan investments amidst sanctions. This focus on hard economics allowed the publication to remain relevant to its core demographic of CEOs and financial analysts, even as political discourse became more toxic.</w:t>
      </w:r>
    </w:p>
    <w:bookmarkEnd w:id="22"/>
    <w:bookmarkStart w:id="23" w:name="X463eed931b8b472be54ac2a1d2e179d2b8bfd4e"/>
    <w:p>
      <w:pPr>
        <w:pStyle w:val="Heading2"/>
      </w:pPr>
      <w:r>
        <w:t xml:space="preserve">IV. Operational Reality: The Subscription Model and Digital Transition</w:t>
      </w:r>
    </w:p>
    <w:p>
      <w:pPr>
        <w:pStyle w:val="FirstParagraph"/>
      </w:pPr>
      <w:r>
        <w:t xml:space="preserve">Unlike many news organizations that relied heavily on direct advertising from multinational corporations (which began leaving Russia or reducing spend due to reputational risks),</w:t>
      </w:r>
      <w:r>
        <w:br/>
      </w:r>
      <w:r>
        <w:rPr>
          <w:iCs/>
          <w:i/>
        </w:rPr>
        <w:t xml:space="preserve">The Economist</w:t>
      </w:r>
      <w:r>
        <w:t xml:space="preserve"> </w:t>
      </w:r>
      <w:r>
        <w:t xml:space="preserve">in Moscow leaned heavily on its subscription model. This provided a degree of financial insulation from local political pressures.</w:t>
      </w:r>
      <w:r>
        <w:t xml:space="preserve"> </w:t>
      </w:r>
      <w:r>
        <w:rPr>
          <w:bCs/>
          <w:b/>
        </w:rPr>
        <w:t xml:space="preserve">A. The Print vs. Digital Dynamic</w:t>
      </w:r>
      <w:r>
        <w:t xml:space="preserve"> </w:t>
      </w:r>
      <w:r>
        <w:t xml:space="preserve">While print circulation remained high among older elites and expatriates in Moscow,</w:t>
      </w:r>
      <w:r>
        <w:br/>
      </w:r>
      <w:r>
        <w:t xml:space="preserve">there was a rapid shift toward digital consumption among younger professionals and students in the capital’s university districts.</w:t>
      </w:r>
      <w:r>
        <w:br/>
      </w:r>
      <w:r>
        <w:t xml:space="preserve">The Economist invested heavily in its digital infrastructure, ensuring that its website and app were accessible within Russia (until later ISP restrictions were tightened). This allowed the magazine to reach a broader demographic beyond the physical newsstands, which could be subject to local censorship or distribution hurdles.</w:t>
      </w:r>
      <w:r>
        <w:t xml:space="preserve"> </w:t>
      </w:r>
      <w:r>
        <w:rPr>
          <w:bCs/>
          <w:b/>
        </w:rPr>
        <w:t xml:space="preserve">B. Community and Events</w:t>
      </w:r>
      <w:r>
        <w:t xml:space="preserve"> </w:t>
      </w:r>
      <w:r>
        <w:t xml:space="preserve">In Moscow,</w:t>
      </w:r>
      <w:r>
        <w:br/>
      </w:r>
      <w:r>
        <w:rPr>
          <w:iCs/>
          <w:i/>
        </w:rPr>
        <w:t xml:space="preserve">The Economist</w:t>
      </w:r>
      <w:r>
        <w:t xml:space="preserve"> </w:t>
      </w:r>
      <w:r>
        <w:t xml:space="preserve">attempted to foster a community through events, often collaborating with international business chambers and cultural institutes. These events served as hubs for debate, allowing readers in Moscow to engage directly with the ideas presented in the magazine.</w:t>
      </w:r>
      <w:r>
        <w:br/>
      </w:r>
      <w:r>
        <w:t xml:space="preserve">However, as geopolitical tensions rose in 2016-2018,</w:t>
      </w:r>
      <w:r>
        <w:br/>
      </w:r>
      <w:r>
        <w:t xml:space="preserve">sponsoring organizations became more cautious,</w:t>
      </w:r>
      <w:r>
        <w:br/>
      </w:r>
      <w:r>
        <w:t xml:space="preserve">making it increasingly difficult to host public forums that touched on sensitive political topics.</w:t>
      </w:r>
    </w:p>
    <w:bookmarkEnd w:id="23"/>
    <w:bookmarkStart w:id="24" w:name="Xf8685f667ef9616bcaa9598b9bd47ed0dc1e90e"/>
    <w:p>
      <w:pPr>
        <w:pStyle w:val="Heading2"/>
      </w:pPr>
      <w:r>
        <w:t xml:space="preserve">V. Critical Turning Point: The Shift Toward Isolation</w:t>
      </w:r>
    </w:p>
    <w:p>
      <w:pPr>
        <w:pStyle w:val="FirstParagraph"/>
      </w:pPr>
      <w:r>
        <w:t xml:space="preserve">By the latter half of 2018, the environment in Moscow had become untenable for many international publications.</w:t>
      </w:r>
      <w:r>
        <w:br/>
      </w:r>
      <w:r>
        <w:t xml:space="preserve">The labeling of media as "foreign agents" and increasing legal harassment created a chilling effect.</w:t>
      </w:r>
      <w:r>
        <w:br/>
      </w:r>
      <w:r>
        <w:rPr>
          <w:iCs/>
          <w:i/>
        </w:rPr>
        <w:t xml:space="preserve">The Economist</w:t>
      </w:r>
      <w:r>
        <w:t xml:space="preserve"> </w:t>
      </w:r>
      <w:r>
        <w:t xml:space="preserve">continued to publish,</w:t>
      </w:r>
      <w:r>
        <w:br/>
      </w:r>
      <w:r>
        <w:t xml:space="preserve">but its visibility diminished. The magazine faced a paradox: its analysis of Russia became more crucial than ever,</w:t>
      </w:r>
      <w:r>
        <w:br/>
      </w:r>
      <w:r>
        <w:t xml:space="preserve">yet the platform for delivering that analysis was shrinking.</w:t>
      </w:r>
      <w:r>
        <w:br/>
      </w:r>
      <w:r>
        <w:t xml:space="preserve">The publication had to balance its duty to inform the global community about events in Moscow with the safety and legal standing of its local correspondents and subscribers.</w:t>
      </w:r>
    </w:p>
    <w:bookmarkEnd w:id="24"/>
    <w:bookmarkStart w:id="25" w:name="vi.-conclusion-lessons-from-moscow"/>
    <w:p>
      <w:pPr>
        <w:pStyle w:val="Heading2"/>
      </w:pPr>
      <w:r>
        <w:t xml:space="preserve">VI. Conclusion: Lessons from Moscow</w:t>
      </w:r>
    </w:p>
    <w:p>
      <w:pPr>
        <w:pStyle w:val="FirstParagraph"/>
      </w:pPr>
      <w:r>
        <w:t xml:space="preserve">The case of</w:t>
      </w:r>
      <w:r>
        <w:t xml:space="preserve"> </w:t>
      </w:r>
      <w:r>
        <w:rPr>
          <w:iCs/>
          <w:i/>
        </w:rPr>
        <w:t xml:space="preserve">The Economist</w:t>
      </w:r>
      <w:r>
        <w:t xml:space="preserve"> </w:t>
      </w:r>
      <w:r>
        <w:t xml:space="preserve">in Russia, specifically during the turbulent years leading up to 2018,</w:t>
      </w:r>
      <w:r>
        <w:br/>
      </w:r>
      <w:r>
        <w:t xml:space="preserve">demonstrates both the resilience and the vulnerability of independent journalism in authoritarian contexts.</w:t>
      </w:r>
      <w:r>
        <w:br/>
      </w:r>
      <w:r>
        <w:rPr>
          <w:bCs/>
          <w:b/>
        </w:rPr>
        <w:t xml:space="preserve">Key takeaways include:</w:t>
      </w:r>
      <w:r>
        <w:t xml:space="preserve"> </w:t>
      </w:r>
      <w:r>
        <w:t xml:space="preserve">1. **Relevance Through Neutrality:**</w:t>
      </w:r>
      <w:r>
        <w:br/>
      </w:r>
      <w:r>
        <w:t xml:space="preserve">In polarized markets,</w:t>
      </w:r>
      <w:r>
        <w:br/>
      </w:r>
      <w:r>
        <w:t xml:space="preserve">strict adherence to data and analytical neutrality can provide a shield against immediate political reprisal, provided the audience still values objective truth for commercial or intellectual reasons.</w:t>
      </w:r>
      <w:r>
        <w:t xml:space="preserve"> </w:t>
      </w:r>
      <w:r>
        <w:t xml:space="preserve">2. **The Fragility of Access:**</w:t>
      </w:r>
      <w:r>
        <w:br/>
      </w:r>
      <w:r>
        <w:t xml:space="preserve">Moscow’s status as a global hub is fragile.</w:t>
      </w:r>
      <w:r>
        <w:br/>
      </w:r>
      <w:r>
        <w:rPr>
          <w:iCs/>
          <w:i/>
        </w:rPr>
        <w:t xml:space="preserve">The Economist’s</w:t>
      </w:r>
      <w:r>
        <w:t xml:space="preserve"> </w:t>
      </w:r>
      <w:r>
        <w:t xml:space="preserve">experience highlights how quickly an open market can close off,</w:t>
      </w:r>
      <w:r>
        <w:br/>
      </w:r>
      <w:r>
        <w:t xml:space="preserve">necessitating a rapid pivot to digital-only models and remote journalism.</w:t>
      </w:r>
      <w:r>
        <w:t xml:space="preserve"> </w:t>
      </w:r>
      <w:r>
        <w:t xml:space="preserve">3. **The Enduring Value of Liberal Analysis: Even in isolationist environments,</w:t>
      </w:r>
      <w:r>
        <w:br/>
      </w:r>
      <w:r>
        <w:t xml:space="preserve">there remains a segment of the population (elites, students, business leaders) that craves unvarnished truth.</w:t>
      </w:r>
      <w:r>
        <w:br/>
      </w:r>
      <w:r>
        <w:rPr>
          <w:iCs/>
          <w:i/>
        </w:rPr>
        <w:t xml:space="preserve">The Economist</w:t>
      </w:r>
      <w:r>
        <w:t xml:space="preserve"> </w:t>
      </w:r>
      <w:r>
        <w:t xml:space="preserve">served this niche by refusing to dilute its liberal worldview,</w:t>
      </w:r>
      <w:r>
        <w:br/>
      </w:r>
      <w:r>
        <w:t xml:space="preserve">thereby maintaining brand integrity even as its reach contracted.</w:t>
      </w:r>
      <w:r>
        <w:t xml:space="preserve"> </w:t>
      </w:r>
      <w:r>
        <w:t xml:space="preserve">Ultimately,</w:t>
      </w:r>
      <w:r>
        <w:br/>
      </w:r>
      <w:r>
        <w:t xml:space="preserve">The Economist’s journey in Moscow underscores the difficulty of maintaining global journalistic standards when local political tides turn against globalization. It remains a case study in how international media must constantly adapt their strategies to survive not just market forces,</w:t>
      </w:r>
      <w:r>
        <w:br/>
      </w:r>
      <w:r>
        <w:t xml:space="preserve">but geopolitical hostility.</w:t>
      </w:r>
      <w:r>
        <w:br/>
      </w:r>
      <w:r>
        <w:t xml:space="preserve">For future operations in similar regions,</w:t>
      </w:r>
      <w:r>
        <w:rPr>
          <w:iCs/>
          <w:i/>
        </w:rPr>
        <w:t xml:space="preserve">The Economist</w:t>
      </w:r>
      <w:r>
        <w:t xml:space="preserve">'s experience suggests that while print circulation may wane,</w:t>
      </w:r>
      <w:r>
        <w:br/>
      </w:r>
      <w:r>
        <w:t xml:space="preserve">a strong digital presence and a commitment to unflinching analysis are the only viable paths forward for publications seeking to inform the world’s most powerful cities during times of crisis.</w:t>
      </w:r>
    </w:p>
    <w:p>
      <w:r>
        <w:pict>
          <v:rect style="width:0;height:1.5pt" o:hralign="center" o:hrstd="t" o:hr="t"/>
        </w:pict>
      </w:r>
    </w:p>
    <w:p>
      <w:pPr>
        <w:pStyle w:val="FirstParagraph"/>
      </w:pPr>
      <w:r>
        <w:t xml:space="preserve">Disclaimer: This case study is for educational and analytical purposes based on public historical data up to Q2 2018.</w:t>
      </w:r>
      <w:r>
        <w:br/>
      </w:r>
      <w:r>
        <w:rPr>
          <w:iCs/>
          <w:i/>
        </w:rPr>
        <w:t xml:space="preserve">The Economist</w:t>
      </w:r>
      <w:r>
        <w:t xml:space="preserve"> </w:t>
      </w:r>
      <w:r>
        <w:t xml:space="preserve">continues to operate globally,</w:t>
      </w:r>
      <w:r>
        <w:br/>
      </w:r>
      <w:r>
        <w:t xml:space="preserve">though its specific operational structures in Russia have evolved significantly due to ongoing geopolitical events.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Russia, Moscow</dc:title>
  <dc:creator/>
  <dc:language>en</dc:language>
  <cp:keywords/>
  <dcterms:created xsi:type="dcterms:W3CDTF">2026-07-29T17:30:55Z</dcterms:created>
  <dcterms:modified xsi:type="dcterms:W3CDTF">2026-07-29T17:30:55Z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