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Intelligence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21" w:name="X23d0d1fd23394590769596f128bb522d0473357"/>
    <w:p>
      <w:pPr>
        <w:pStyle w:val="Heading1"/>
      </w:pPr>
      <w:r>
        <w:t xml:space="preserve">The Economist Case Study: Strategic Intelligence in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Published Analysis</w:t>
      </w:r>
      <w:r>
        <w:br/>
      </w:r>
      <w:r>
        <w:rPr>
          <w:bCs/>
          <w:b/>
        </w:rPr>
        <w:t xml:space="preserve">Coverage Region:</w:t>
      </w:r>
    </w:p>
    <w:bookmarkStart w:id="20" w:name="singapore"/>
    <w:p>
      <w:pPr>
        <w:pStyle w:val="Heading6"/>
      </w:pPr>
      <w:r>
        <w:t xml:space="preserve">Singapore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Economist Case Study: Strategic Intelligence in Singapore</dc:title>
  <dc:creator/>
  <dc:language>en</dc:language>
  <cp:keywords/>
  <dcterms:created xsi:type="dcterms:W3CDTF">2026-07-29T11:25:27Z</dcterms:created>
  <dcterms:modified xsi:type="dcterms:W3CDTF">2026-07-29T11:25:27Z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