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Intelligence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1" w:name="X23d0d1fd23394590769596f128bb522d0473357"/>
    <w:p>
      <w:pPr>
        <w:pStyle w:val="Heading1"/>
      </w:pPr>
      <w:r>
        <w:t xml:space="preserve">The Economist Case Study: Strategic Intelligence in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Published Analysis</w:t>
      </w:r>
      <w:r>
        <w:br/>
      </w:r>
      <w:r>
        <w:rPr>
          <w:bCs/>
          <w:b/>
        </w:rPr>
        <w:t xml:space="preserve">Coverage Region:</w:t>
      </w:r>
    </w:p>
    <w:bookmarkStart w:id="20" w:name="singapore"/>
    <w:p>
      <w:pPr>
        <w:pStyle w:val="Heading6"/>
      </w:pPr>
      <w:r>
        <w:t xml:space="preserve">Singapore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 Case Study: Strategic Intelligence in Singapore</dc:title>
  <dc:creator/>
  <dc:language>en</dc:language>
  <cp:keywords/>
  <dcterms:created xsi:type="dcterms:W3CDTF">2026-09-26T22:53:35Z</dcterms:created>
  <dcterms:modified xsi:type="dcterms:W3CDTF">2026-09-26T22:53:35Z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