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91cbe4ad5d6eedf13c2dca31d8d4c211ed83912"/>
    <w:p>
      <w:pPr>
        <w:pStyle w:val="Heading1"/>
      </w:pPr>
      <w:r>
        <w:t xml:space="preserve">Economic Intelligence and Strategic Foresight: An Economist Case Study in United Arab Emirates Abu Dhabi</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 Strategy Review</w:t>
      </w:r>
      <w:r>
        <w:br/>
      </w:r>
      <w:r>
        <w:rPr>
          <w:bCs/>
          <w:b/>
        </w:rPr>
        <w:t xml:space="preserve">Jurisdiction:</w:t>
      </w:r>
      <w:r>
        <w:t xml:space="preserve"> </w:t>
      </w:r>
      <w:r>
        <w:t xml:space="preserve">United Arab Emirates Abu Dhabi</w:t>
      </w:r>
    </w:p>
    <w:p>
      <w:r>
        <w:pict>
          <v:rect style="width:0;height:1.5pt" o:hralign="center" o:hrstd="t" o:hr="t"/>
        </w:pict>
      </w:r>
    </w:p>
    <w:bookmarkStart w:id="20" w:name="executive-summary"/>
    <w:p>
      <w:pPr>
        <w:pStyle w:val="Heading2"/>
      </w:pPr>
      <w:r>
        <w:t xml:space="preserve">Executive Summary</w:t>
      </w:r>
    </w:p>
    <w:p>
      <w:pPr>
        <w:pStyle w:val="FirstParagraph"/>
      </w:pPr>
      <w:r>
        <w:t xml:space="preserve">In an era characterized by rapid geopolitical shifts and volatile global markets, the demand for rigorous economic analysis has never been more critical. This case study examines the strategic deployment of</w:t>
      </w:r>
      <w:r>
        <w:t xml:space="preserve"> </w:t>
      </w:r>
      <w:r>
        <w:rPr>
          <w:bCs/>
          <w:b/>
        </w:rPr>
        <w:t xml:space="preserve">Economist</w:t>
      </w:r>
      <w:r>
        <w:t xml:space="preserve"> </w:t>
      </w:r>
      <w:r>
        <w:t xml:space="preserve">intelligence resources within the sovereign landscape of the</w:t>
      </w:r>
      <w:r>
        <w:t xml:space="preserve"> </w:t>
      </w:r>
      <w:r>
        <w:rPr>
          <w:bCs/>
          <w:b/>
        </w:rPr>
        <w:t xml:space="preserve">United Arab Emirates Abu Dhabi</w:t>
      </w:r>
      <w:r>
        <w:t xml:space="preserve">. The primary objective is to analyze how high-level economic forecasting and geopolitical risk assessment tools are utilized by state entities, multinational corporations, and investment firms in Abu Dhabi to navigate the complex transition from an oil-centric economy to a diversified knowledge-based powerhouse. As</w:t>
      </w:r>
      <w:r>
        <w:t xml:space="preserve"> </w:t>
      </w:r>
      <w:r>
        <w:rPr>
          <w:bCs/>
          <w:b/>
        </w:rPr>
        <w:t xml:space="preserve">Abu Dhabi</w:t>
      </w:r>
      <w:r>
        <w:t xml:space="preserve"> </w:t>
      </w:r>
      <w:r>
        <w:t xml:space="preserve">continues to position itself as a global hub for finance, renewable energy, and artificial intelligence, the integration of premier economic data becomes not just beneficial, but essential for sustained competitive advantage.</w:t>
      </w:r>
    </w:p>
    <w:bookmarkEnd w:id="20"/>
    <w:bookmarkStart w:id="21" w:name="Xf146701592d6b06844d7ef58ec7b2b8e05e2ea0"/>
    <w:p>
      <w:pPr>
        <w:pStyle w:val="Heading2"/>
      </w:pPr>
      <w:r>
        <w:t xml:space="preserve">The Context: Abu Dhabi’s Economic Transformation</w:t>
      </w:r>
    </w:p>
    <w:p>
      <w:pPr>
        <w:pStyle w:val="FirstParagraph"/>
      </w:pPr>
      <w:r>
        <w:rPr>
          <w:bCs/>
          <w:b/>
        </w:rPr>
        <w:t xml:space="preserve">United Arab Emirates Abu Dhabi</w:t>
      </w:r>
      <w:r>
        <w:t xml:space="preserve"> </w:t>
      </w:r>
      <w:r>
        <w:t xml:space="preserve">serves as the capital of the nation and its primary economic engine. Historically reliant on hydrocarbon revenues, the Emirate has embarked on an ambitious diversification strategy known as "Abu Dhabi Economic Vision 2030." This vision aims to reduce dependence on oil by fostering growth in sectors such as tourism, healthcare, education, and advanced manufacturing. However, this transition is fraught with challenges. The region operates at the intersection of emerging market dynamics and Western financial stability standards. Consequently local stakeholders face a unique informational asymmetry: the need for hyper-local insights combined with global macroeconomic trends.</w:t>
      </w:r>
    </w:p>
    <w:p>
      <w:pPr>
        <w:pStyle w:val="BodyText"/>
      </w:pPr>
      <w:r>
        <w:t xml:space="preserve">This environment creates a fertile ground for specialized economic intelligence providers. The</w:t>
      </w:r>
      <w:r>
        <w:t xml:space="preserve"> </w:t>
      </w:r>
      <w:r>
        <w:rPr>
          <w:bCs/>
          <w:b/>
        </w:rPr>
        <w:t xml:space="preserve">Economist</w:t>
      </w:r>
      <w:r>
        <w:t xml:space="preserve">, recognized globally for its authoritative voice in political and economic analysis, presents itself as an indispensable partner in this ecosystem. For investors and policymakers in</w:t>
      </w:r>
      <w:r>
        <w:t xml:space="preserve"> </w:t>
      </w:r>
      <w:r>
        <w:rPr>
          <w:bCs/>
          <w:b/>
        </w:rPr>
        <w:t xml:space="preserve">Abu Dhabi</w:t>
      </w:r>
      <w:r>
        <w:t xml:space="preserve">, understanding the broader global context is vital, but applying that context to the specific regulatory and cultural nuances of the Emirates requires localized interpretation.</w:t>
      </w:r>
    </w:p>
    <w:bookmarkEnd w:id="21"/>
    <w:bookmarkStart w:id="22" w:name="X4c5df600301ede5a460129d36c5f1f72da79565"/>
    <w:p>
      <w:pPr>
        <w:pStyle w:val="Heading2"/>
      </w:pPr>
      <w:r>
        <w:t xml:space="preserve">The Challenge: Information Overload vs. Actionable Insight</w:t>
      </w:r>
    </w:p>
    <w:p>
      <w:pPr>
        <w:pStyle w:val="FirstParagraph"/>
      </w:pPr>
      <w:r>
        <w:t xml:space="preserve">The core challenge identified in this case study revolves around decision-making under uncertainty. Key stakeholders in</w:t>
      </w:r>
      <w:r>
        <w:t xml:space="preserve"> </w:t>
      </w:r>
      <w:r>
        <w:rPr>
          <w:bCs/>
          <w:b/>
        </w:rPr>
        <w:t xml:space="preserve">United Arab Emirates Abu Dhabi</w:t>
      </w:r>
      <w:r>
        <w:t xml:space="preserve">, including sovereign wealth funds, government ministries, and private equity firms, are bombarded with data daily. The volume of information is staggering, yet the signal-to-noise ratio is often low. Traditional news sources provide reactive reporting, which is insufficient for long-term strategic planning.</w:t>
      </w:r>
    </w:p>
    <w:p>
      <w:pPr>
        <w:pStyle w:val="BodyText"/>
      </w:pPr>
      <w:r>
        <w:t xml:space="preserve">The specific problem addressed here is how to convert global economic narratives into local actionable strategies. For instance, a rise in global interest rates reported by international media may have different implications for debt structuring in</w:t>
      </w:r>
      <w:r>
        <w:t xml:space="preserve"> </w:t>
      </w:r>
      <w:r>
        <w:rPr>
          <w:bCs/>
          <w:b/>
        </w:rPr>
        <w:t xml:space="preserve">Abu Dhabi</w:t>
      </w:r>
      <w:r>
        <w:t xml:space="preserve"> </w:t>
      </w:r>
      <w:r>
        <w:t xml:space="preserve">compared to Europe or North America due to regional liquidity conditions and central bank policies. Stakeholders needed a resource that did not merely report events but explained their structural causes and future trajectories. This is where the analytical framework of the</w:t>
      </w:r>
      <w:r>
        <w:t xml:space="preserve"> </w:t>
      </w:r>
      <w:r>
        <w:rPr>
          <w:bCs/>
          <w:b/>
        </w:rPr>
        <w:t xml:space="preserve">Economist</w:t>
      </w:r>
      <w:r>
        <w:t xml:space="preserve"> </w:t>
      </w:r>
      <w:r>
        <w:t xml:space="preserve">becomes critical.</w:t>
      </w:r>
    </w:p>
    <w:bookmarkEnd w:id="22"/>
    <w:bookmarkStart w:id="26" w:name="X41b7832a11d577d7ca4e69dbbe3754396264503"/>
    <w:p>
      <w:pPr>
        <w:pStyle w:val="Heading2"/>
      </w:pPr>
      <w:r>
        <w:t xml:space="preserve">The Solution: Integrating Economist Intelligence into Local Strategy</w:t>
      </w:r>
    </w:p>
    <w:p>
      <w:pPr>
        <w:pStyle w:val="FirstParagraph"/>
      </w:pPr>
      <w:r>
        <w:t xml:space="preserve">To address these challenges, a comprehensive integration strategy was proposed for key institutions in</w:t>
      </w:r>
      <w:r>
        <w:t xml:space="preserve"> </w:t>
      </w:r>
      <w:r>
        <w:rPr>
          <w:bCs/>
          <w:b/>
        </w:rPr>
        <w:t xml:space="preserve">United Arab Emirates Abu Dhabi</w:t>
      </w:r>
      <w:r>
        <w:t xml:space="preserve">. This strategy involved three pillars of implementation:</w:t>
      </w:r>
    </w:p>
    <w:bookmarkStart w:id="23" w:name="X9a42044312441e6c18f29e9f6b0707ac37050a6"/>
    <w:p>
      <w:pPr>
        <w:pStyle w:val="Heading3"/>
      </w:pPr>
      <w:r>
        <w:t xml:space="preserve">1. Macro-Economic Forecasting and Risk Assessment</w:t>
      </w:r>
    </w:p>
    <w:p>
      <w:pPr>
        <w:pStyle w:val="FirstParagraph"/>
      </w:pPr>
      <w:r>
        <w:t xml:space="preserve">The first pillar focused on utilizing the</w:t>
      </w:r>
      <w:r>
        <w:t xml:space="preserve"> </w:t>
      </w:r>
      <w:r>
        <w:rPr>
          <w:bCs/>
          <w:b/>
        </w:rPr>
        <w:t xml:space="preserve">Economist’s</w:t>
      </w:r>
      <w:r>
        <w:t xml:space="preserve"> </w:t>
      </w:r>
      <w:r>
        <w:t xml:space="preserve">deep-dive reports to forecast macroeconomic trends. By subscribing to specialized indices and regional analyses, entities in</w:t>
      </w:r>
      <w:r>
        <w:t xml:space="preserve"> </w:t>
      </w:r>
      <w:r>
        <w:rPr>
          <w:bCs/>
          <w:b/>
        </w:rPr>
        <w:t xml:space="preserve">Abu Dhabi</w:t>
      </w:r>
      <w:r>
        <w:t xml:space="preserve"> </w:t>
      </w:r>
      <w:r>
        <w:t xml:space="preserve">could anticipate shifts in global trade flows, commodity prices, and geopolitical stability. This allowed for proactive rather than reactive portfolio adjustments. For example, during periods of heightened tension in neighboring regions or supply chain disruptions globally, the predictive models provided by</w:t>
      </w:r>
      <w:r>
        <w:t xml:space="preserve"> </w:t>
      </w:r>
      <w:r>
        <w:rPr>
          <w:bCs/>
          <w:b/>
        </w:rPr>
        <w:t xml:space="preserve">Economist</w:t>
      </w:r>
      <w:r>
        <w:t xml:space="preserve"> </w:t>
      </w:r>
      <w:r>
        <w:t xml:space="preserve">data helped local firms adjust their hedging strategies before market panic set in.</w:t>
      </w:r>
    </w:p>
    <w:bookmarkEnd w:id="23"/>
    <w:bookmarkStart w:id="24" w:name="Xcf7828794f8705220319759bec2bbe837b18801"/>
    <w:p>
      <w:pPr>
        <w:pStyle w:val="Heading3"/>
      </w:pPr>
      <w:r>
        <w:t xml:space="preserve">2. Geopolitical Literacy for Cross-Border Investment</w:t>
      </w:r>
    </w:p>
    <w:p>
      <w:pPr>
        <w:pStyle w:val="FirstParagraph"/>
      </w:pPr>
      <w:r>
        <w:rPr>
          <w:bCs/>
          <w:b/>
        </w:rPr>
        <w:t xml:space="preserve">United Arab Emirates Abu Dhabi</w:t>
      </w:r>
      <w:r>
        <w:t xml:space="preserve"> </w:t>
      </w:r>
      <w:r>
        <w:t xml:space="preserve">is a hub for cross-border investment, particularly with Asia and Africa. Understanding the political risks associated with these emerging markets is crucial. The case study highlights how legal and financial teams in</w:t>
      </w:r>
      <w:r>
        <w:t xml:space="preserve"> </w:t>
      </w:r>
      <w:r>
        <w:rPr>
          <w:bCs/>
          <w:b/>
        </w:rPr>
        <w:t xml:space="preserve">Abu Dhabi</w:t>
      </w:r>
      <w:r>
        <w:br/>
      </w:r>
      <w:r>
        <w:t xml:space="preserve">used</w:t>
      </w:r>
      <w:r>
        <w:t xml:space="preserve"> </w:t>
      </w:r>
      <w:r>
        <w:rPr>
          <w:bCs/>
          <w:b/>
        </w:rPr>
        <w:t xml:space="preserve">Economist’s</w:t>
      </w:r>
      <w:r>
        <w:t xml:space="preserve"> </w:t>
      </w:r>
      <w:r>
        <w:t xml:space="preserve">country risk assessments to evaluate potential partnerships. This reduced the incidence of failed ventures due to unforeseen regulatory changes or political unrest in partner jurisdictions, thereby protecting capital allocated by Abu Dhabi-based investors.</w:t>
      </w:r>
    </w:p>
    <w:bookmarkEnd w:id="24"/>
    <w:bookmarkStart w:id="25" w:name="talent-and-innovation-policy-formulation"/>
    <w:p>
      <w:pPr>
        <w:pStyle w:val="Heading3"/>
      </w:pPr>
      <w:r>
        <w:t xml:space="preserve">3. Talent and Innovation Policy Formulation</w:t>
      </w:r>
    </w:p>
    <w:p>
      <w:pPr>
        <w:pStyle w:val="FirstParagraph"/>
      </w:pPr>
      <w:r>
        <w:t xml:space="preserve">A significant portion of Abu Dhabi’s vision relies on attracting top global talent and fostering innovation. The</w:t>
      </w:r>
      <w:r>
        <w:t xml:space="preserve"> </w:t>
      </w:r>
      <w:r>
        <w:rPr>
          <w:bCs/>
          <w:b/>
        </w:rPr>
        <w:t xml:space="preserve">Economist’s</w:t>
      </w:r>
      <w:r>
        <w:t xml:space="preserve"> </w:t>
      </w:r>
      <w:r>
        <w:t xml:space="preserve">analysis regarding the future of work, automation, and education systems provided policymakers in</w:t>
      </w:r>
      <w:r>
        <w:t xml:space="preserve"> </w:t>
      </w:r>
      <w:r>
        <w:rPr>
          <w:bCs/>
          <w:b/>
        </w:rPr>
        <w:t xml:space="preserve">United Arab Emirates Abu Dhabi</w:t>
      </w:r>
      <w:r>
        <w:br/>
      </w:r>
      <w:r>
        <w:t xml:space="preserve">with benchmarks against which to measure local initiatives. By comparing domestic policy outcomes with global trends reported by the</w:t>
      </w:r>
      <w:r>
        <w:t xml:space="preserve"> </w:t>
      </w:r>
      <w:r>
        <w:rPr>
          <w:bCs/>
          <w:b/>
        </w:rPr>
        <w:t xml:space="preserve">Economist</w:t>
      </w:r>
      <w:r>
        <w:t xml:space="preserve">, government bodies could refine their strategies to ensure that human capital development aligned with future economic needs rather than past industrial requirements.</w:t>
      </w:r>
    </w:p>
    <w:bookmarkEnd w:id="25"/>
    <w:bookmarkEnd w:id="26"/>
    <w:bookmarkStart w:id="27" w:name="X520336f12dc8d498ed2280e437993000e7d1e5d"/>
    <w:p>
      <w:pPr>
        <w:pStyle w:val="Heading2"/>
      </w:pPr>
      <w:r>
        <w:t xml:space="preserve">Implementation and Stakeholder Engagement</w:t>
      </w:r>
    </w:p>
    <w:p>
      <w:pPr>
        <w:pStyle w:val="FirstParagraph"/>
      </w:pPr>
      <w:r>
        <w:t xml:space="preserve">The rollout of this intelligence strategy required significant stakeholder engagement. Workshops were conducted for senior executives in financial institutions and government departments within</w:t>
      </w:r>
      <w:r>
        <w:t xml:space="preserve"> </w:t>
      </w:r>
      <w:r>
        <w:rPr>
          <w:bCs/>
          <w:b/>
        </w:rPr>
        <w:t xml:space="preserve">Abu Dhabi</w:t>
      </w:r>
      <w:r>
        <w:t xml:space="preserve">. These sessions focused on teaching decision-makers how to interpret the nuanced language of economic forecasting. It was not enough to have access to the data; users needed the literacy to apply it.</w:t>
      </w:r>
    </w:p>
    <w:p>
      <w:pPr>
        <w:pStyle w:val="BodyText"/>
      </w:pPr>
      <w:r>
        <w:t xml:space="preserve">Furthermore, digital platforms were integrated into internal corporate networks, ensuring that real-time updates from</w:t>
      </w:r>
      <w:r>
        <w:t xml:space="preserve"> </w:t>
      </w:r>
      <w:r>
        <w:rPr>
          <w:bCs/>
          <w:b/>
        </w:rPr>
        <w:t xml:space="preserve">Economist</w:t>
      </w:r>
      <w:r>
        <w:t xml:space="preserve"> </w:t>
      </w:r>
      <w:r>
        <w:t xml:space="preserve">were accessible via mobile devices for on-the-go executives. This democratization of high-quality information ensured that insights reached operational teams, not just the C-suite. The culture of evidence-based decision-making began to shift across various sectors in</w:t>
      </w:r>
      <w:r>
        <w:t xml:space="preserve"> </w:t>
      </w:r>
      <w:r>
        <w:rPr>
          <w:bCs/>
          <w:b/>
        </w:rPr>
        <w:t xml:space="preserve">United Arab Emirates Abu Dhabi</w:t>
      </w:r>
      <w:r>
        <w:t xml:space="preserve">, from real estate development to healthcare management.</w:t>
      </w:r>
    </w:p>
    <w:bookmarkEnd w:id="27"/>
    <w:bookmarkStart w:id="28" w:name="outcomes-and-strategic-benefits"/>
    <w:p>
      <w:pPr>
        <w:pStyle w:val="Heading2"/>
      </w:pPr>
      <w:r>
        <w:t xml:space="preserve">Outcomes and Strategic Benefits</w:t>
      </w:r>
    </w:p>
    <w:p>
      <w:pPr>
        <w:pStyle w:val="FirstParagraph"/>
      </w:pPr>
      <w:r>
        <w:t xml:space="preserve">The results observed over a twelve-month period were significant. Entities utilizing the integrated approach demonstrated greater resilience during global market shocks. Key performance indicators included:</w:t>
      </w:r>
    </w:p>
    <w:p>
      <w:pPr>
        <w:numPr>
          <w:ilvl w:val="0"/>
          <w:numId w:val="1001"/>
        </w:numPr>
        <w:pStyle w:val="Compact"/>
      </w:pPr>
      <w:r>
        <w:rPr>
          <w:bCs/>
          <w:b/>
        </w:rPr>
        <w:t xml:space="preserve">Risk Mitigation:</w:t>
      </w:r>
      <w:r>
        <w:t xml:space="preserve">A measurable decrease in losses due to geopolitical miscalculations in emerging market investments.</w:t>
      </w:r>
    </w:p>
    <w:p>
      <w:pPr>
        <w:numPr>
          <w:ilvl w:val="0"/>
          <w:numId w:val="1001"/>
        </w:numPr>
        <w:pStyle w:val="Compact"/>
      </w:pPr>
      <w:r>
        <w:rPr>
          <w:bCs/>
          <w:b/>
        </w:rPr>
        <w:t xml:space="preserve">Strategic Agility:</w:t>
      </w:r>
      <w:r>
        <w:t xml:space="preserve">Faster adaptation to regulatory changes driven by global economic pressures, allowing firms in</w:t>
      </w:r>
      <w:r>
        <w:t xml:space="preserve"> </w:t>
      </w:r>
      <w:r>
        <w:rPr>
          <w:bCs/>
          <w:b/>
        </w:rPr>
        <w:t xml:space="preserve">Abu Dhabi</w:t>
      </w:r>
      <w:r>
        <w:t xml:space="preserve"> </w:t>
      </w:r>
      <w:r>
        <w:t xml:space="preserve">to maintain compliance and competitive edge.</w:t>
      </w:r>
    </w:p>
    <w:p>
      <w:pPr>
        <w:numPr>
          <w:ilvl w:val="0"/>
          <w:numId w:val="1001"/>
        </w:numPr>
        <w:pStyle w:val="Compact"/>
      </w:pPr>
      <w:r>
        <w:rPr>
          <w:bCs/>
          <w:b/>
        </w:rPr>
        <w:t xml:space="preserve">Informed Policy Making:</w:t>
      </w:r>
      <w:r>
        <w:t xml:space="preserve">Government initiatives were better aligned with long-term global trends, enhancing the attractiveness of the Emirate for foreign direct investment.</w:t>
      </w:r>
    </w:p>
    <w:bookmarkEnd w:id="28"/>
    <w:bookmarkStart w:id="29" w:name="Xabd752188156e2d95b82fa9f571e5d10a7b5259"/>
    <w:p>
      <w:pPr>
        <w:pStyle w:val="Heading2"/>
      </w:pPr>
      <w:r>
        <w:t xml:space="preserve">Conclusion: The Future of Economic Intelligence in Abu Dhabi</w:t>
      </w:r>
    </w:p>
    <w:p>
      <w:pPr>
        <w:pStyle w:val="FirstParagraph"/>
      </w:pPr>
      <w:r>
        <w:t xml:space="preserve">This case study underscores that in the modern economy, information is a strategic asset. For</w:t>
      </w:r>
      <w:r>
        <w:t xml:space="preserve"> </w:t>
      </w:r>
      <w:r>
        <w:rPr>
          <w:bCs/>
          <w:b/>
        </w:rPr>
        <w:t xml:space="preserve">United Arab Emirates Abu Dhabi</w:t>
      </w:r>
      <w:r>
        <w:t xml:space="preserve">, the pursuit of economic diversification and global integration makes access to premier analytical resources like the</w:t>
      </w:r>
      <w:r>
        <w:t xml:space="preserve"> </w:t>
      </w:r>
      <w:r>
        <w:rPr>
          <w:bCs/>
          <w:b/>
        </w:rPr>
        <w:t xml:space="preserve">Economist</w:t>
      </w:r>
      <w:r>
        <w:t xml:space="preserve"> </w:t>
      </w:r>
      <w:r>
        <w:t xml:space="preserve">imperative. It is no longer sufficient to rely on intuition or fragmented data; success depends on a holistic understanding of global forces and their local impacts.</w:t>
      </w:r>
    </w:p>
    <w:p>
      <w:pPr>
        <w:pStyle w:val="BodyText"/>
      </w:pPr>
      <w:r>
        <w:t xml:space="preserve">As</w:t>
      </w:r>
      <w:r>
        <w:t xml:space="preserve"> </w:t>
      </w:r>
      <w:r>
        <w:rPr>
          <w:bCs/>
          <w:b/>
        </w:rPr>
        <w:t xml:space="preserve">Abu Dhabi</w:t>
      </w:r>
      <w:r>
        <w:br/>
      </w:r>
      <w:r>
        <w:t xml:space="preserve">continues to evolve into a leading global city, the role of high-quality economic intelligence will only expand. The integration of the</w:t>
      </w:r>
      <w:r>
        <w:t xml:space="preserve"> </w:t>
      </w:r>
      <w:r>
        <w:rPr>
          <w:bCs/>
          <w:b/>
        </w:rPr>
        <w:t xml:space="preserve">Economist’s</w:t>
      </w:r>
      <w:r>
        <w:t xml:space="preserve"> </w:t>
      </w:r>
      <w:r>
        <w:t xml:space="preserve">rigorous analytical framework into the decision-making processes of local stakeholders provides a blueprint for other emerging economies seeking to navigate complexity with clarity. Ultimately, the synergy between world-class analysis and strategic ambition defines the trajectory of</w:t>
      </w:r>
      <w:r>
        <w:t xml:space="preserve"> </w:t>
      </w:r>
      <w:r>
        <w:rPr>
          <w:bCs/>
          <w:b/>
        </w:rPr>
        <w:t xml:space="preserve">United Arab Emirates Abu Dhabi</w:t>
      </w:r>
      <w:r>
        <w:t xml:space="preserve">'s continued prosperity.</w:t>
      </w:r>
    </w:p>
    <w:p>
      <w:pPr>
        <w:pStyle w:val="BodyText"/>
      </w:pPr>
      <w:r>
        <w:rPr>
          <w:iCs/>
          <w:i/>
        </w:rPr>
        <w:t xml:space="preserve">Note: This document is a hypothetical case study created for illustrative purposes regarding economic strategy in United Arab Emirates Abu Dhabi. All references to the Economist refer to The Economist Group and its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Case Study: Strategic Implementation in United Arab Emirates Abu Dhabi</dc:title>
  <dc:creator/>
  <dc:language>en</dc:language>
  <cp:keywords/>
  <dcterms:created xsi:type="dcterms:W3CDTF">2026-07-29T03:08:07Z</dcterms:created>
  <dcterms:modified xsi:type="dcterms:W3CDTF">2026-07-29T03:08:07Z</dcterms:modified>
</cp:coreProperties>
</file>

<file path=docProps/custom.xml><?xml version="1.0" encoding="utf-8"?>
<Properties xmlns="http://schemas.openxmlformats.org/officeDocument/2006/custom-properties" xmlns:vt="http://schemas.openxmlformats.org/officeDocument/2006/docPropsVTypes"/>
</file>