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Economist's</w:t>
      </w:r>
      <w:r>
        <w:t xml:space="preserve"> </w:t>
      </w:r>
      <w:r>
        <w:t xml:space="preserve">Influence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128870537b429adc57f8a00cde312494f905184"/>
    <w:p>
      <w:pPr>
        <w:pStyle w:val="Heading1"/>
      </w:pPr>
      <w:r>
        <w:t xml:space="preserve">The Economist Case Study: Navigating Economic Shifts in United Kingdom Manchester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Economic Analysis and Policy Adaptation</w:t>
      </w:r>
      <w:r>
        <w:br/>
      </w:r>
      <w:r>
        <w:rPr>
          <w:bCs/>
          <w:b/>
        </w:rPr>
        <w:t xml:space="preserve">Location Focus:</w:t>
      </w:r>
      <w:r>
        <w:t xml:space="preserve"> </w:t>
      </w:r>
      <w:r>
        <w:t xml:space="preserve">United Kingdom Manchester</w:t>
      </w:r>
    </w:p>
    <w:bookmarkStart w:id="20" w:name="i.-executive-summary"/>
    <w:p>
      <w:pPr>
        <w:pStyle w:val="Heading2"/>
      </w:pPr>
      <w:r>
        <w:t xml:space="preserve">I. Executive Summary</w:t>
      </w:r>
    </w:p>
    <w:p>
      <w:pPr>
        <w:pStyle w:val="FirstParagraph"/>
      </w:pPr>
      <w:r>
        <w:t xml:space="preserve">This case study examines the evolving economic landscape of one of the most dynamic regions in Europe, specifically focusing on Manchester within the United Kingdom. As a global hub for finance, digital technology, and media, Manchester presents a unique microcosm of broader national trends identified by leading financial publications. The primary objective is to analyze how local policymakers and business leaders in United Kingdom Manchester have adapted to post-Brexit realities, inflationary pressures, and the green energy transition. By synthesizing insights from</w:t>
      </w:r>
      <w:r>
        <w:t xml:space="preserve"> </w:t>
      </w:r>
      <w:r>
        <w:rPr>
          <w:iCs/>
          <w:i/>
        </w:rPr>
        <w:t xml:space="preserve">The Economist</w:t>
      </w:r>
      <w:r>
        <w:t xml:space="preserve">, this document provides a comprehensive overview of the challenges facing Northern England’s largest city and offers strategic recommendations for sustainable growth. The analysis highlights that while global headwinds are significant, Manchester possesses resilient structural advantages that can be leveraged to maintain its status as a premier economic engine within the United Kingdom.</w:t>
      </w:r>
    </w:p>
    <w:bookmarkEnd w:id="20"/>
    <w:bookmarkStart w:id="21" w:name="ii.-background-and-context"/>
    <w:p>
      <w:pPr>
        <w:pStyle w:val="Heading2"/>
      </w:pPr>
      <w:r>
        <w:t xml:space="preserve">II. Background and Context</w:t>
      </w:r>
    </w:p>
    <w:p>
      <w:pPr>
        <w:pStyle w:val="FirstParagraph"/>
      </w:pPr>
      <w:r>
        <w:t xml:space="preserve">Manchester has historically been the beating heart of the industrial revolution. However, in recent decades, it has successfully reinvented itself from a manufacturing powerhouse into a service-oriented economy specializing in media, finance, technology, and professional services. Despite this transformation Manchester continues to face distinct challenges common to many cities in the United Kingdom following the economic shockwaves of Brexit and global instability.</w:t>
      </w:r>
    </w:p>
    <w:p>
      <w:pPr>
        <w:pStyle w:val="BodyText"/>
      </w:pPr>
      <w:r>
        <w:rPr>
          <w:iCs/>
          <w:i/>
        </w:rPr>
        <w:t xml:space="preserve">The Economist</w:t>
      </w:r>
      <w:r>
        <w:t xml:space="preserve"> </w:t>
      </w:r>
      <w:r>
        <w:t xml:space="preserve">has frequently highlighted the disparity between London and other major UK cities. While London remains a global financial capital, cities like Manchester are striving for greater autonomy and influence. This case study explores whether Manchester can bridge this gap through targeted policy interventions, infrastructure investment, and educational partnerships. The city’s role as a key node in the "Northern Powerhouse" initiative is central to understanding its current economic positioning within the broader United Kingdom framework.</w:t>
      </w:r>
    </w:p>
    <w:bookmarkEnd w:id="21"/>
    <w:bookmarkStart w:id="25" w:name="iii.-key-economic-challenges-identified"/>
    <w:p>
      <w:pPr>
        <w:pStyle w:val="Heading2"/>
      </w:pPr>
      <w:r>
        <w:t xml:space="preserve">III. Key Economic Challenges Identified</w:t>
      </w:r>
    </w:p>
    <w:bookmarkStart w:id="22" w:name="a.-post-brexit-trade-dynamics"/>
    <w:p>
      <w:pPr>
        <w:pStyle w:val="Heading3"/>
      </w:pPr>
      <w:r>
        <w:t xml:space="preserve">A. Post-Brexit Trade Dynamics</w:t>
      </w:r>
    </w:p>
    <w:p>
      <w:pPr>
        <w:pStyle w:val="FirstParagraph"/>
      </w:pPr>
      <w:r>
        <w:t xml:space="preserve">The departure of the United Kingdom from the European Union has created significant friction for businesses operating in Manchester. Supply chain disruptions, regulatory divergence, and labor shortages have impacted both manufacturing and service sectors. According to analyses often cited by</w:t>
      </w:r>
      <w:r>
        <w:t xml:space="preserve"> </w:t>
      </w:r>
      <w:r>
        <w:rPr>
          <w:iCs/>
          <w:i/>
        </w:rPr>
        <w:t xml:space="preserve">The Economist</w:t>
      </w:r>
      <w:r>
        <w:t xml:space="preserve">, UK productivity growth has stagnated since 2016 due largely to trade barriers. Manchester-based exporters face higher compliance costs when trading with EU partners, which remains a crucial market for the region’s financial and legal services.</w:t>
      </w:r>
    </w:p>
    <w:bookmarkEnd w:id="22"/>
    <w:bookmarkStart w:id="23" w:name="Xeca711f711d1bee8a03200f4b752961edc9f64d"/>
    <w:p>
      <w:pPr>
        <w:pStyle w:val="Heading3"/>
      </w:pPr>
      <w:r>
        <w:t xml:space="preserve">B. The Cost of Living Crisis and Inflation</w:t>
      </w:r>
    </w:p>
    <w:p>
      <w:pPr>
        <w:pStyle w:val="FirstParagraph"/>
      </w:pPr>
      <w:r>
        <w:t xml:space="preserve">Inflation rates in the United Kingdom have reached multi-decade highs, affecting disposable income across Manchester. This has led to reduced consumer spending, impacting retail and hospitality sectors that are vital to the city’s local economy. Furthermore, housing affordability remains a critical issue. While Manchester offers more affordable housing than London, rapid population growth driven by internal migration has pushed rents up significantly, creating social tension and potentially driving away essential workers.</w:t>
      </w:r>
    </w:p>
    <w:bookmarkEnd w:id="23"/>
    <w:bookmarkStart w:id="24" w:name="c.-infrastructure-and-connectivity"/>
    <w:p>
      <w:pPr>
        <w:pStyle w:val="Heading3"/>
      </w:pPr>
      <w:r>
        <w:t xml:space="preserve">C. Infrastructure and Connectivity</w:t>
      </w:r>
    </w:p>
    <w:p>
      <w:pPr>
        <w:pStyle w:val="FirstParagraph"/>
      </w:pPr>
      <w:r>
        <w:t xml:space="preserve">The long-promised HS2 high-speed rail link to Manchester has faced repeated delays and budget overruns. This uncertainty hampers the city’s ability to integrate seamlessly with other major UK economic centers, particularly Birmingham and London. Improved connectivity is essential for attracting foreign direct investment (FDI) and facilitating business travel. Without reliable infrastructure, Manchester risks losing its competitive edge against other European cities like Dublin or Amsterdam.</w:t>
      </w:r>
    </w:p>
    <w:bookmarkEnd w:id="24"/>
    <w:bookmarkEnd w:id="25"/>
    <w:bookmarkStart w:id="29" w:name="Xd669bf8f554780ccf87a51cbe4fd57b859eda2a"/>
    <w:p>
      <w:pPr>
        <w:pStyle w:val="Heading2"/>
      </w:pPr>
      <w:r>
        <w:t xml:space="preserve">IV. Strategic Responses and Opportunities</w:t>
      </w:r>
    </w:p>
    <w:bookmarkStart w:id="26" w:name="a.-the-rise-of-the-digital-economy"/>
    <w:p>
      <w:pPr>
        <w:pStyle w:val="Heading3"/>
      </w:pPr>
      <w:r>
        <w:t xml:space="preserve">A. The Rise of the Digital Economy</w:t>
      </w:r>
    </w:p>
    <w:p>
      <w:pPr>
        <w:pStyle w:val="FirstParagraph"/>
      </w:pPr>
      <w:r>
        <w:t xml:space="preserve">Manchester has emerged as a leader in the digital sector, often referred to as "Northern Tech." With established tech hubs like MediaCityUK and strong university partnerships (including The University of Manchester and Manchester Metropolitan University), the city is cultivating a skilled workforce in AI, data science, and fintech. This shift aligns with global trends noted by</w:t>
      </w:r>
      <w:r>
        <w:t xml:space="preserve"> </w:t>
      </w:r>
      <w:r>
        <w:rPr>
          <w:iCs/>
          <w:i/>
        </w:rPr>
        <w:t xml:space="preserve">The Economist</w:t>
      </w:r>
      <w:r>
        <w:t xml:space="preserve">, where digital transformation is key to improving productivity. By investing in digital infrastructure, Manchester can mitigate some of the physical trade barriers imposed by Brexit.</w:t>
      </w:r>
    </w:p>
    <w:bookmarkEnd w:id="26"/>
    <w:bookmarkStart w:id="27" w:name="b.-green-energy-transition"/>
    <w:p>
      <w:pPr>
        <w:pStyle w:val="Heading3"/>
      </w:pPr>
      <w:r>
        <w:t xml:space="preserve">B. Green Energy Transition</w:t>
      </w:r>
    </w:p>
    <w:p>
      <w:pPr>
        <w:pStyle w:val="FirstParagraph"/>
      </w:pPr>
      <w:r>
        <w:t xml:space="preserve">The United Kingdom has committed to net-zero emissions by 2050, and Manchester is positioning itself as a pioneer in green technology. The city’s industrial heritage provides an opportunity for retrofitting buildings and developing renewable energy solutions. Local authorities are encouraging businesses to adopt sustainable practices, which not only meets regulatory requirements but also attracts ESG-focused investors. This aligns with global capital flows toward sustainable assets, offering Manchester a pathway to differentiate itself in the international market.</w:t>
      </w:r>
    </w:p>
    <w:bookmarkEnd w:id="27"/>
    <w:bookmarkStart w:id="28" w:name="X0114daf4c1ff06bef3f6e91aff25c3416a4486f"/>
    <w:p>
      <w:pPr>
        <w:pStyle w:val="Heading3"/>
      </w:pPr>
      <w:r>
        <w:t xml:space="preserve">C. Educational Excellence and Talent Retention</w:t>
      </w:r>
    </w:p>
    <w:p>
      <w:pPr>
        <w:pStyle w:val="FirstParagraph"/>
      </w:pPr>
      <w:r>
        <w:t xml:space="preserve">Manchester is home to world-class universities that produce thousands of graduates annually. A key strategy for local government has been implementing initiatives to retain this talent within the city rather than allowing it to flow predominantly to London or abroad. Partnerships between academia and industry ensure that curricula are aligned with market needs, fostering innovation and entrepreneurship. This human capital advantage is critical for long-term economic resilience.</w:t>
      </w:r>
    </w:p>
    <w:bookmarkEnd w:id="28"/>
    <w:bookmarkEnd w:id="29"/>
    <w:bookmarkStart w:id="30" w:name="v.-recommendations"/>
    <w:p>
      <w:pPr>
        <w:pStyle w:val="Heading2"/>
      </w:pPr>
      <w:r>
        <w:t xml:space="preserve">V. Recommendations</w:t>
      </w:r>
    </w:p>
    <w:p>
      <w:pPr>
        <w:numPr>
          <w:ilvl w:val="0"/>
          <w:numId w:val="1001"/>
        </w:numPr>
        <w:pStyle w:val="Compact"/>
      </w:pPr>
      <w:r>
        <w:rPr>
          <w:bCs/>
          <w:b/>
        </w:rPr>
        <w:t xml:space="preserve">Enhance Regional Connectivity:</w:t>
      </w:r>
      <w:r>
        <w:t xml:space="preserve">The United Kingdom government must prioritize the completion of infrastructure projects that link Manchester to other major cities, ensuring seamless movement of goods and people.</w:t>
      </w:r>
    </w:p>
    <w:p>
      <w:pPr>
        <w:numPr>
          <w:ilvl w:val="0"/>
          <w:numId w:val="1001"/>
        </w:numPr>
        <w:pStyle w:val="Compact"/>
      </w:pPr>
      <w:r>
        <w:rPr>
          <w:bCs/>
          <w:b/>
        </w:rPr>
        <w:t xml:space="preserve">Foster International Trade Links:</w:t>
      </w:r>
      <w:r>
        <w:t xml:space="preserve">Mancunian businesses should be supported in establishing direct trade relationships with non-EU markets to diversify risks associated with Brexit.</w:t>
      </w:r>
    </w:p>
    <w:p>
      <w:pPr>
        <w:numPr>
          <w:ilvl w:val="0"/>
          <w:numId w:val="1001"/>
        </w:numPr>
        <w:pStyle w:val="Compact"/>
      </w:pPr>
      <w:r>
        <w:rPr>
          <w:bCs/>
          <w:b/>
        </w:rPr>
        <w:t xml:space="preserve">Invest in Affordable Housing:</w:t>
      </w:r>
      <w:r>
        <w:t xml:space="preserve">To address the cost of living crisis, local authorities must increase the supply of affordable housing to attract and retain a diverse workforce.</w:t>
      </w:r>
    </w:p>
    <w:p>
      <w:pPr>
        <w:numPr>
          <w:ilvl w:val="0"/>
          <w:numId w:val="1001"/>
        </w:numPr>
        <w:pStyle w:val="Compact"/>
      </w:pPr>
      <w:r>
        <w:rPr>
          <w:bCs/>
          <w:b/>
        </w:rPr>
        <w:t xml:space="preserve">Promote Digital Innovation:</w:t>
      </w:r>
      <w:r>
        <w:t xml:space="preserve">Continued investment in digital infrastructure will support Manchester’s growth as a tech hub, aligning with global productivity trends highlighted by financial analysts.</w:t>
      </w:r>
    </w:p>
    <w:bookmarkEnd w:id="30"/>
    <w:bookmarkStart w:id="31" w:name="vi.-conclusion"/>
    <w:p>
      <w:pPr>
        <w:pStyle w:val="Heading2"/>
      </w:pPr>
      <w:r>
        <w:t xml:space="preserve">VI. Conclusion</w:t>
      </w:r>
    </w:p>
    <w:p>
      <w:pPr>
        <w:pStyle w:val="FirstParagraph"/>
      </w:pPr>
      <w:r>
        <w:t xml:space="preserve">The economic future of United Kingdom Manchester depends on its ability to navigate complex global and domestic challenges. While issues such as post-Brexit trade barriers, inflation, and infrastructure delays pose significant risks, the city’s strong foundation in education, digital innovation, and green energy offers a robust pathway forward. As observed in reports by</w:t>
      </w:r>
      <w:r>
        <w:t xml:space="preserve"> </w:t>
      </w:r>
      <w:r>
        <w:rPr>
          <w:iCs/>
          <w:i/>
        </w:rPr>
        <w:t xml:space="preserve">The Economist</w:t>
      </w:r>
      <w:r>
        <w:t xml:space="preserve">, cities that adapt quickly to changing economic paradigms thrive. Manchester has demonstrated remarkable resilience and agility. By leveraging its unique strengths and addressing structural weaknesses through strategic policy-making, Manchester can solidify its position as a leading global city within the United Kingdom, contributing significantly to the nation’s overall economic health.</w:t>
      </w:r>
    </w:p>
    <w:p>
      <w:pPr>
        <w:pStyle w:val="BodyText"/>
      </w:pPr>
      <w:r>
        <w:t xml:space="preserve">In conclusion, this case study underscores that while the macroeconomic environment in the United Kingdom remains volatile, localized strategies in cities like Manchester can drive sustainable growth. The interplay between national policy and local initiative is crucial. Stakeholders must continue to collaborate closely to ensure that Manchester remains a beacon of economic opportunity and innovation for the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Economist's Influence in United Kingdom Manchester</dc:title>
  <dc:creator/>
  <dc:language>en</dc:language>
  <cp:keywords/>
  <dcterms:created xsi:type="dcterms:W3CDTF">2026-07-29T10:39:47Z</dcterms:created>
  <dcterms:modified xsi:type="dcterms:W3CDTF">2026-07-29T10:39:47Z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