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Zimbabwe,</w:t>
      </w:r>
      <w:r>
        <w:t xml:space="preserve"> </w:t>
      </w:r>
      <w:r>
        <w:t xml:space="preserve">Harare</w:t>
      </w:r>
    </w:p>
    <w:bookmarkStart w:id="35" w:name="X1fb04a094787637854d66d19615a87497c5e50d"/>
    <w:p>
      <w:pPr>
        <w:pStyle w:val="Heading1"/>
      </w:pPr>
      <w:r>
        <w:t xml:space="preserve">The Strategic Imperative of The Economist Subscription for Professionals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Business Executives, and Academic Leaders</w:t>
      </w:r>
      <w:r>
        <w:br/>
      </w:r>
      <w:r>
        <w:rPr>
          <w:bCs/>
          <w:b/>
        </w:rPr>
        <w:t xml:space="preserve">From:</w:t>
      </w:r>
      <w:r>
        <w:t xml:space="preserve"> </w:t>
      </w:r>
      <w:r>
        <w:t xml:space="preserve">Strategic Communications Desk</w:t>
      </w:r>
      <w:r>
        <w:br/>
      </w:r>
    </w:p>
    <w:p>
      <w:pPr>
        <w:pStyle w:val="BodyText"/>
      </w:pPr>
      <w:r>
        <w:t xml:space="preserve">Subject:</w:t>
      </w:r>
    </w:p>
    <w:p>
      <w:pPr>
        <w:pStyle w:val="BodyText"/>
      </w:pPr>
      <w:r>
        <w:t xml:space="preserve">The Critical Role of Global Insight in Navigating Local Complexity</w:t>
      </w:r>
    </w:p>
    <w:bookmarkStart w:id="21" w:name="introduction-the-information-imperative"/>
    <w:p>
      <w:pPr>
        <w:pStyle w:val="Heading2"/>
      </w:pPr>
      <w:bookmarkStart w:id="20" w:name="introduction"/>
      <w:bookmarkEnd w:id="20"/>
      <w:hyperlink w:anchor="introduction">
        <w:r>
          <w:rPr>
            <w:rStyle w:val="Hyperlink"/>
          </w:rPr>
          <w:t xml:space="preserve">Introduction: The Information Imperative</w:t>
        </w:r>
      </w:hyperlink>
    </w:p>
    <w:p>
      <w:pPr>
        <w:pStyle w:val="FirstParagraph"/>
      </w:pPr>
      <w:r>
        <w:t xml:space="preserve">In the dynamic and often volatile economic landscape of Zimbabwe, particularly within its capital city of Harare, access to high-quality, unbiased global intelligence is not merely a luxury—it is a strategic necessity. This case study examines the profound impact that subscriptions to</w:t>
      </w:r>
      <w:r>
        <w:t xml:space="preserve"> </w:t>
      </w:r>
      <w:r>
        <w:rPr>
          <w:bCs/>
          <w:b/>
        </w:rPr>
        <w:t xml:space="preserve">The Economist</w:t>
      </w:r>
      <w:r>
        <w:t xml:space="preserve"> </w:t>
      </w:r>
      <w:r>
        <w:t xml:space="preserve">have on decision-making processes for business leaders, government officials, and civil society actors in</w:t>
      </w:r>
      <w:r>
        <w:t xml:space="preserve"> </w:t>
      </w:r>
      <w:r>
        <w:rPr>
          <w:bCs/>
          <w:b/>
        </w:rPr>
        <w:t xml:space="preserve">Zimbabwe Harare</w:t>
      </w:r>
      <w:r>
        <w:t xml:space="preserve">. As the nation navigates complex monetary policies, fluctuating commodity markets, and evolving geopolitical relationships with neighboring nations and global powers like China and the United States, the clarity provided by</w:t>
      </w:r>
      <w:r>
        <w:t xml:space="preserve"> </w:t>
      </w:r>
      <w:r>
        <w:rPr>
          <w:bCs/>
          <w:b/>
        </w:rPr>
        <w:t xml:space="preserve">The Economist</w:t>
      </w:r>
      <w:r>
        <w:t xml:space="preserve"> </w:t>
      </w:r>
      <w:r>
        <w:t xml:space="preserve">serves as a vital anchor for rational planning.</w:t>
      </w:r>
    </w:p>
    <w:bookmarkEnd w:id="21"/>
    <w:bookmarkStart w:id="23" w:name="context-the-harare-economic-environment"/>
    <w:p>
      <w:pPr>
        <w:pStyle w:val="Heading2"/>
      </w:pPr>
      <w:bookmarkStart w:id="22" w:name="context"/>
      <w:bookmarkEnd w:id="22"/>
      <w:hyperlink w:anchor="context">
        <w:r>
          <w:rPr>
            <w:rStyle w:val="Hyperlink"/>
          </w:rPr>
          <w:t xml:space="preserve">Context: The Harare Economic Environment</w:t>
        </w:r>
      </w:hyperlink>
    </w:p>
    <w:p>
      <w:pPr>
        <w:pStyle w:val="FirstParagraph"/>
      </w:pPr>
      <w:r>
        <w:t xml:space="preserve">Harare stands as the political, economic, and industrial hub of Zimbabwe. It is home to the majority of the country’s multinational corporations, diplomatic missions, and financial institutions. However operating in this environment requires a nuanced understanding that extends far beyond local headlines. The economy has experienced significant volatility including periods of hyperinflation currency reforms such as the introduction of bond notes and later the ZiG (Zimbabwe Gold), and shifting regulatory frameworks for foreign investment.</w:t>
      </w:r>
    </w:p>
    <w:p>
      <w:pPr>
        <w:pStyle w:val="BodyText"/>
      </w:pPr>
      <w:r>
        <w:t xml:space="preserve">For stakeholders in</w:t>
      </w:r>
      <w:r>
        <w:t xml:space="preserve"> </w:t>
      </w:r>
      <w:r>
        <w:rPr>
          <w:bCs/>
          <w:b/>
        </w:rPr>
        <w:t xml:space="preserve">Zimbabwe Harare</w:t>
      </w:r>
      <w:r>
        <w:t xml:space="preserve">, relying solely on domestic media sources can present a limited perspective. While local news provides immediate ground-level reporting, it often lacks the deep analytical framework necessary to interpret long-term trends. This is where international publications like</w:t>
      </w:r>
    </w:p>
    <w:p>
      <w:pPr>
        <w:pStyle w:val="BodyText"/>
      </w:pPr>
      <w:r>
        <w:t xml:space="preserve">The Economist</w:t>
      </w:r>
    </w:p>
    <w:p>
      <w:pPr>
        <w:pStyle w:val="BodyText"/>
      </w:pPr>
      <w:r>
        <w:t xml:space="preserve">become indispensable. They provide the macroeconomic context, historical precedents, and comparative analysis that are essential for understanding how global shocks (such as changes in interest rates by the Federal Reserve or disruptions in global supply chains) will specifically impact Harare’s import-dependent industries.</w:t>
      </w:r>
    </w:p>
    <w:bookmarkEnd w:id="23"/>
    <w:bookmarkStart w:id="28" w:name="X21247dd2be44b878d45f46799e7551c5eea8dde"/>
    <w:p>
      <w:pPr>
        <w:pStyle w:val="Heading2"/>
      </w:pPr>
      <w:bookmarkStart w:id="24" w:name="case-study"/>
      <w:bookmarkEnd w:id="24"/>
      <w:hyperlink w:anchor="case-study">
        <w:r>
          <w:rPr>
            <w:rStyle w:val="Hyperlink"/>
          </w:rPr>
          <w:t xml:space="preserve">Case Study: Strategic Decision-Making at a Leading Financial Firm</w:t>
        </w:r>
      </w:hyperlink>
    </w:p>
    <w:p>
      <w:pPr>
        <w:pStyle w:val="FirstParagraph"/>
      </w:pPr>
      <w:r>
        <w:t xml:space="preserve">To illustrate the practical application of this insight we analyze a hypothetical but representative scenario involving "ZimFinTech Solutions," a leading fintech company based in Harare.</w:t>
      </w:r>
    </w:p>
    <w:bookmarkStart w:id="25" w:name="the-challenge"/>
    <w:p>
      <w:pPr>
        <w:pStyle w:val="Heading3"/>
      </w:pPr>
      <w:r>
        <w:t xml:space="preserve">The Challenge</w:t>
      </w:r>
    </w:p>
    <w:p>
      <w:pPr>
        <w:pStyle w:val="FirstParagraph"/>
      </w:pPr>
      <w:r>
        <w:t xml:space="preserve">In early 2024, ZimFinTech faced a critical strategic dilemma. The company was considering expanding its digital payment infrastructure into neighboring countries but needed to assess the stability of the Zimbabwean currency as a base for their regional operations. Local reports were conflicting with some analysts predicting immediate devaluation while others suggested stabilization due to recent policy interventions.</w:t>
      </w:r>
    </w:p>
    <w:bookmarkEnd w:id="25"/>
    <w:bookmarkStart w:id="26" w:name="the-application-of-the-economist"/>
    <w:p>
      <w:pPr>
        <w:pStyle w:val="Heading3"/>
      </w:pPr>
      <w:r>
        <w:t xml:space="preserve">The Application of The Economist</w:t>
      </w:r>
    </w:p>
    <w:p>
      <w:pPr>
        <w:pStyle w:val="FirstParagraph"/>
      </w:pPr>
      <w:r>
        <w:t xml:space="preserve">The senior management team subscribed to</w:t>
      </w:r>
      <w:r>
        <w:t xml:space="preserve"> </w:t>
      </w:r>
      <w:r>
        <w:rPr>
          <w:bCs/>
          <w:b/>
        </w:rPr>
        <w:t xml:space="preserve">The Economist</w:t>
      </w:r>
      <w:r>
        <w:t xml:space="preserve">, both in print and digital formats, ensuring daily access. Through the publication’s rigorous analysis sections such as "Finance and Economics" and regional reports on "Southern Africa," they gained several key insights:</w:t>
      </w:r>
    </w:p>
    <w:p>
      <w:pPr>
        <w:numPr>
          <w:ilvl w:val="0"/>
          <w:numId w:val="1001"/>
        </w:numPr>
        <w:pStyle w:val="Compact"/>
      </w:pPr>
      <w:r>
        <w:t xml:space="preserve">Global Contextualization:</w:t>
      </w:r>
    </w:p>
    <w:p>
      <w:pPr>
        <w:numPr>
          <w:ilvl w:val="0"/>
          <w:numId w:val="1000"/>
        </w:numPr>
        <w:pStyle w:val="Compact"/>
      </w:pPr>
      <w:r>
        <w:t xml:space="preserve">The article analyzed global trends in digital currencies and how central banks in emerging markets were responding to US monetary policy. This helped ZimFinTech understand that local currency stability was tied more closely to international trade balances than just domestic political rhetoric.</w:t>
      </w:r>
    </w:p>
    <w:p>
      <w:pPr>
        <w:numPr>
          <w:ilvl w:val="0"/>
          <w:numId w:val="1001"/>
        </w:numPr>
        <w:pStyle w:val="Compact"/>
      </w:pPr>
      <w:r>
        <w:t xml:space="preserve">Historical Precedent:</w:t>
      </w:r>
    </w:p>
    <w:p>
      <w:pPr>
        <w:numPr>
          <w:ilvl w:val="0"/>
          <w:numId w:val="1000"/>
        </w:numPr>
        <w:pStyle w:val="Compact"/>
      </w:pPr>
      <w:r>
        <w:t xml:space="preserve">The magazine’s extensive archive and historical analysis provided a comparative view of similar currency reforms in other African nations, highlighting common pitfalls in multi-currency systems.</w:t>
      </w:r>
    </w:p>
    <w:p>
      <w:pPr>
        <w:numPr>
          <w:ilvl w:val="0"/>
          <w:numId w:val="1001"/>
        </w:numPr>
        <w:pStyle w:val="Compact"/>
      </w:pPr>
      <w:r>
        <w:t xml:space="preserve">Predictive Modeling:</w:t>
      </w:r>
    </w:p>
    <w:p>
      <w:pPr>
        <w:numPr>
          <w:ilvl w:val="0"/>
          <w:numId w:val="1000"/>
        </w:numPr>
        <w:pStyle w:val="Compact"/>
      </w:pPr>
      <w:r>
        <w:t xml:space="preserve">The weekly forecasts offered by</w:t>
      </w:r>
    </w:p>
    <w:p>
      <w:pPr>
        <w:numPr>
          <w:ilvl w:val="0"/>
          <w:numId w:val="1000"/>
        </w:numPr>
        <w:pStyle w:val="Compact"/>
      </w:pPr>
      <w:r>
        <w:t xml:space="preserve">The Economist</w:t>
      </w:r>
    </w:p>
    <w:p>
      <w:pPr>
        <w:numPr>
          <w:ilvl w:val="0"/>
          <w:numId w:val="1000"/>
        </w:numPr>
        <w:pStyle w:val="Compact"/>
      </w:pPr>
      <w:r>
        <w:t xml:space="preserve">allowed the CFO to create risk-adjusted models that accounted for potential external shocks, rather than reacting emotionally to daily news cycles.</w:t>
      </w:r>
    </w:p>
    <w:bookmarkEnd w:id="26"/>
    <w:bookmarkStart w:id="27" w:name="the-outcome"/>
    <w:p>
      <w:pPr>
        <w:pStyle w:val="Heading3"/>
      </w:pPr>
      <w:r>
        <w:t xml:space="preserve">The Outcome</w:t>
      </w:r>
    </w:p>
    <w:bookmarkEnd w:id="27"/>
    <w:bookmarkEnd w:id="28"/>
    <w:bookmarkStart w:id="30" w:name="Xe287e2358a1892855533c5707d28285613b890a"/>
    <w:p>
      <w:pPr>
        <w:pStyle w:val="Heading2"/>
      </w:pPr>
      <w:bookmarkStart w:id="29" w:name="benefits"/>
      <w:bookmarkEnd w:id="29"/>
      <w:hyperlink w:anchor="benefits">
        <w:r>
          <w:rPr>
            <w:rStyle w:val="Hyperlink"/>
          </w:rPr>
          <w:t xml:space="preserve">Benefits of The Economist for Professionals in Zimbabwe, Harare</w:t>
        </w:r>
      </w:hyperlink>
    </w:p>
    <w:p>
      <w:pPr>
        <w:pStyle w:val="FirstParagraph"/>
      </w:pPr>
      <w:r>
        <w:t xml:space="preserve">The value proposition of</w:t>
      </w:r>
      <w:r>
        <w:t xml:space="preserve"> </w:t>
      </w:r>
      <w:r>
        <w:rPr>
          <w:bCs/>
          <w:b/>
        </w:rPr>
        <w:t xml:space="preserve">The Economist</w:t>
      </w:r>
      <w:r>
        <w:t xml:space="preserve"> </w:t>
      </w:r>
      <w:r>
        <w:t xml:space="preserve">in the specific context of</w:t>
      </w:r>
    </w:p>
    <w:p>
      <w:pPr>
        <w:pStyle w:val="BodyText"/>
      </w:pPr>
      <w:r>
        <w:t xml:space="preserve">Zimbabwe Harare</w:t>
      </w:r>
    </w:p>
    <w:p>
      <w:pPr>
        <w:numPr>
          <w:ilvl w:val="0"/>
          <w:numId w:val="1002"/>
        </w:numPr>
        <w:pStyle w:val="Compact"/>
      </w:pPr>
      <w:r>
        <w:t xml:space="preserve">Credibility and Bias Mitigation:</w:t>
      </w:r>
    </w:p>
    <w:p>
      <w:pPr>
        <w:numPr>
          <w:ilvl w:val="0"/>
          <w:numId w:val="1000"/>
        </w:numPr>
        <w:pStyle w:val="Compact"/>
      </w:pPr>
      <w:r>
        <w:t xml:space="preserve">In an environment where information can sometimes be politicized, The Economist’s classical liberal perspective and data-driven approach offer a counterbalance. It challenges narratives with evidence, allowing Harare-based professionals to verify assumptions against global standards.</w:t>
      </w:r>
    </w:p>
    <w:p>
      <w:pPr>
        <w:numPr>
          <w:ilvl w:val="0"/>
          <w:numId w:val="1002"/>
        </w:numPr>
        <w:pStyle w:val="Compact"/>
      </w:pPr>
      <w:r>
        <w:t xml:space="preserve">Efficiency of Information:</w:t>
      </w:r>
    </w:p>
    <w:p>
      <w:pPr>
        <w:numPr>
          <w:ilvl w:val="0"/>
          <w:numId w:val="1002"/>
        </w:numPr>
        <w:pStyle w:val="Compact"/>
      </w:pPr>
      <w:r>
        <w:t xml:space="preserve">Networking and Intellectual Capital:</w:t>
      </w:r>
    </w:p>
    <w:bookmarkEnd w:id="30"/>
    <w:bookmarkStart w:id="32" w:name="challenges-and-mitigation"/>
    <w:p>
      <w:pPr>
        <w:pStyle w:val="Heading2"/>
      </w:pPr>
      <w:bookmarkStart w:id="31" w:name="challenges"/>
      <w:bookmarkEnd w:id="31"/>
      <w:hyperlink w:anchor="challenges">
        <w:r>
          <w:rPr>
            <w:rStyle w:val="Hyperlink"/>
          </w:rPr>
          <w:t xml:space="preserve">Challenges and Mitigation</w:t>
        </w:r>
      </w:hyperlink>
    </w:p>
    <w:p>
      <w:pPr>
        <w:pStyle w:val="FirstParagraph"/>
      </w:pPr>
      <w:r>
        <w:t xml:space="preserve">Despite its benefits, accessing The Economist in Zimbabwe Harare presents logistical challenges. Internet connectivity can be intermittent, affecting digital access. Furthermore the cost of subscription in hard currency (USD) can be prohibitive for individuals earning in local currency.</w:t>
      </w:r>
    </w:p>
    <w:p>
      <w:pPr>
        <w:pStyle w:val="BodyText"/>
      </w:pPr>
      <w:r>
        <w:t xml:space="preserve">Mitigation Strategies:</w:t>
      </w:r>
    </w:p>
    <w:p>
      <w:pPr>
        <w:numPr>
          <w:ilvl w:val="0"/>
          <w:numId w:val="1003"/>
        </w:numPr>
        <w:pStyle w:val="Compact"/>
      </w:pPr>
      <w:r>
        <w:t xml:space="preserve">Institutional Subscriptions:</w:t>
      </w:r>
    </w:p>
    <w:p>
      <w:pPr>
        <w:numPr>
          <w:ilvl w:val="0"/>
          <w:numId w:val="1003"/>
        </w:numPr>
        <w:pStyle w:val="Compact"/>
      </w:pPr>
      <w:r>
        <w:t xml:space="preserve">Syndicated Access:</w:t>
      </w:r>
    </w:p>
    <w:p>
      <w:pPr>
        <w:numPr>
          <w:ilvl w:val="0"/>
          <w:numId w:val="1003"/>
        </w:numPr>
        <w:pStyle w:val="Compact"/>
      </w:pPr>
      <w:r>
        <w:t xml:space="preserve">Mixed Media Approach:</w:t>
      </w:r>
    </w:p>
    <w:bookmarkEnd w:id="32"/>
    <w:bookmarkStart w:id="34" w:name="conclusion"/>
    <w:p>
      <w:pPr>
        <w:pStyle w:val="Heading2"/>
      </w:pPr>
      <w:bookmarkStart w:id="33" w:name="conclusion"/>
      <w:bookmarkEnd w:id="33"/>
      <w:hyperlink w:anchor="conclusion">
        <w:r>
          <w:rPr>
            <w:rStyle w:val="Hyperlink"/>
          </w:rPr>
          <w:t xml:space="preserve">Conclusion</w:t>
        </w:r>
      </w:hyperlink>
    </w:p>
    <w:p>
      <w:pPr>
        <w:pStyle w:val="FirstParagraph"/>
      </w:pPr>
      <w:r>
        <w:t xml:space="preserve">The case study underscores that for professionals operating in Zimbabwe Harare, The Economist is not just a magazine; it is a critical tool for risk management and strategic foresight. By providing a lens through which to view local events in the context of global realities, it empowers stakeholders to make informed decisions that ensure sustainability and growth. In an era where uncertainty is the only constant, the analytical rigor and global perspective offered by The Economist provide a competitive advantage that is indispensable for any serious actor in Harare’s economic landscape.</w:t>
      </w:r>
    </w:p>
    <w:p>
      <w:pPr>
        <w:pStyle w:val="BodyText"/>
      </w:pPr>
      <w:r>
        <w:t xml:space="preserve">We recommend that all senior policymakers, investors, and thought leaders in Zimbabwe prioritize access to this resource as part of their fundamental information infrastructure. The cost of subscription is negligible compared to the value of avoiding a single major strategic error informed by deeper insight.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Zimbabwe, Harare</dc:title>
  <dc:creator/>
  <dc:language>en</dc:language>
  <cp:keywords/>
  <dcterms:created xsi:type="dcterms:W3CDTF">2026-07-29T03:30:56Z</dcterms:created>
  <dcterms:modified xsi:type="dcterms:W3CDTF">2026-07-29T03:30:56Z</dcterms:modified>
</cp:coreProperties>
</file>

<file path=docProps/custom.xml><?xml version="1.0" encoding="utf-8"?>
<Properties xmlns="http://schemas.openxmlformats.org/officeDocument/2006/custom-properties" xmlns:vt="http://schemas.openxmlformats.org/officeDocument/2006/docPropsVTypes"/>
</file>