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Digital</w:t>
      </w:r>
      <w:r>
        <w:t xml:space="preserve"> </w:t>
      </w:r>
      <w:r>
        <w:t xml:space="preserve">Editor</w:t>
      </w:r>
      <w:r>
        <w:t xml:space="preserve"> </w:t>
      </w:r>
      <w:r>
        <w:t xml:space="preserve">in</w:t>
      </w:r>
      <w:r>
        <w:t xml:space="preserve"> </w:t>
      </w:r>
      <w:r>
        <w:t xml:space="preserve">Colombia</w:t>
      </w:r>
      <w:r>
        <w:t xml:space="preserve"> </w:t>
      </w:r>
      <w:r>
        <w:t xml:space="preserve">Bogotá</w:t>
      </w:r>
    </w:p>
    <w:bookmarkStart w:id="26" w:name="X3052a5a8bcae3f9af5678070e179aa8b68f7f12"/>
    <w:p>
      <w:pPr>
        <w:pStyle w:val="Heading1"/>
      </w:pPr>
      <w:r>
        <w:t xml:space="preserve">Crossing Borders and Barriers: The Strategic Implementation of the Editor in Colombia Bogotá</w:t>
      </w:r>
    </w:p>
    <w:p>
      <w:pPr>
        <w:pStyle w:val="FirstParagraph"/>
      </w:pPr>
      <w:r>
        <w:t xml:space="preserve">In the rapidly evolving landscape of global digital media, few cities serve as a more compelling case study for technological adaptation than Colombia Bogotá. As South America’s second-largest city and a burgeoning hub for creative industries, tech startups, and international corporate headquarters, Bogotá presents a unique intersection of high-speed digital connectivity and complex linguistic diversity. Within this vibrant ecosystem, the implementation of the</w:t>
      </w:r>
      <w:r>
        <w:t xml:space="preserve"> </w:t>
      </w:r>
      <w:r>
        <w:rPr>
          <w:bCs/>
          <w:b/>
        </w:rPr>
        <w:t xml:space="preserve">Editor</w:t>
      </w:r>
      <w:r>
        <w:t xml:space="preserve">—a specialized content management interface designed for high-volume multilingual publishing—has become not just a tool, but a strategic imperative. This case study explores how organizations in Colombia Bogotá are leveraging the capabilities of the</w:t>
      </w:r>
      <w:r>
        <w:t xml:space="preserve"> </w:t>
      </w:r>
      <w:r>
        <w:rPr>
          <w:bCs/>
          <w:b/>
        </w:rPr>
        <w:t xml:space="preserve">Editor</w:t>
      </w:r>
      <w:r>
        <w:t xml:space="preserve"> </w:t>
      </w:r>
      <w:r>
        <w:t xml:space="preserve">to streamline workflows, enhance editorial quality, and scale operations across Spanish dialects and international markets.</w:t>
      </w:r>
    </w:p>
    <w:bookmarkStart w:id="20" w:name="the-context-why-colombia-bogotá"/>
    <w:p>
      <w:pPr>
        <w:pStyle w:val="Heading2"/>
      </w:pPr>
      <w:r>
        <w:t xml:space="preserve">The Context: Why Colombia Bogotá?</w:t>
      </w:r>
    </w:p>
    <w:p>
      <w:pPr>
        <w:pStyle w:val="FirstParagraph"/>
      </w:pPr>
      <w:r>
        <w:t xml:space="preserve">To understand the significance of deploying a sophisticated</w:t>
      </w:r>
      <w:r>
        <w:t xml:space="preserve"> </w:t>
      </w:r>
      <w:r>
        <w:rPr>
          <w:bCs/>
          <w:b/>
        </w:rPr>
        <w:t xml:space="preserve">Editor</w:t>
      </w:r>
      <w:r>
        <w:t xml:space="preserve">, one must first appreciate the specific context of Colombia Bogotá. The city is home to a robust journalistic sector, comprising major national newspapers, radio networks, and digital-first news platforms. However, these entities face distinct challenges. Unlike homogeneous markets in Northern Europe or North America where English suffices as the primary business language, operations in Colombia Bogotá often require seamless integration between Spanish (specifically the Andean dialect spoken in Bogotá) and English for international distribution.</w:t>
      </w:r>
    </w:p>
    <w:p>
      <w:pPr>
        <w:pStyle w:val="BodyText"/>
      </w:pPr>
      <w:r>
        <w:t xml:space="preserve">Furthermore, the local market demands rapid content turnover. In a city that serves as a diplomatic hub for Latin America, news cycles are accelerated by political developments, economic shifts in emerging markets, and cultural events. Traditional Content Management Systems (CMS) often struggle to handle the metadata tagging required for such dynamic environments without significant manual intervention. This is where the</w:t>
      </w:r>
      <w:r>
        <w:t xml:space="preserve"> </w:t>
      </w:r>
      <w:r>
        <w:rPr>
          <w:bCs/>
          <w:b/>
        </w:rPr>
        <w:t xml:space="preserve">Editor</w:t>
      </w:r>
      <w:r>
        <w:t xml:space="preserve"> </w:t>
      </w:r>
      <w:r>
        <w:t xml:space="preserve">steps in as a critical differentiator.</w:t>
      </w:r>
    </w:p>
    <w:bookmarkEnd w:id="20"/>
    <w:bookmarkStart w:id="21" w:name="X165ab245056eead51034a149771f3d6f9a9e25d"/>
    <w:p>
      <w:pPr>
        <w:pStyle w:val="Heading2"/>
      </w:pPr>
      <w:r>
        <w:t xml:space="preserve">The Solution: Adapting the Editor to Local Needs</w:t>
      </w:r>
    </w:p>
    <w:p>
      <w:pPr>
        <w:pStyle w:val="FirstParagraph"/>
      </w:pPr>
      <w:r>
        <w:t xml:space="preserve">The core challenge identified by stakeholders in Colombia Bogotá was inefficiency in post-production. Journalists and writers were spending up to forty percent of their time formatting content, checking compliance tags, and translating headers for international editions. The solution involved deploying an advanced version of the</w:t>
      </w:r>
      <w:r>
        <w:t xml:space="preserve"> </w:t>
      </w:r>
      <w:r>
        <w:rPr>
          <w:bCs/>
          <w:b/>
        </w:rPr>
        <w:t xml:space="preserve">Editor</w:t>
      </w:r>
      <w:r>
        <w:t xml:space="preserve"> </w:t>
      </w:r>
      <w:r>
        <w:t xml:space="preserve">that features real-time collaborative editing, AI-assisted grammar checking tailored to Colombian Spanish syntax, and automated SEO optimization.</w:t>
      </w:r>
    </w:p>
    <w:p>
      <w:pPr>
        <w:pStyle w:val="BodyText"/>
      </w:pPr>
      <w:r>
        <w:t xml:space="preserve">The deployment was not merely a technical installation; it required cultural adaptation. The interface of the</w:t>
      </w:r>
      <w:r>
        <w:t xml:space="preserve"> </w:t>
      </w:r>
      <w:r>
        <w:rPr>
          <w:bCs/>
          <w:b/>
        </w:rPr>
        <w:t xml:space="preserve">Editor</w:t>
      </w:r>
      <w:r>
        <w:t xml:space="preserve"> </w:t>
      </w:r>
      <w:r>
        <w:t xml:space="preserve">was localized to support common workflow preferences in Bogotá newsrooms. For instance, the default date formats were adjusted to reflect local standards (DD/MM/YYYY), and color-coded alert systems were tuned to highlight specific regulatory compliance issues relevant to Colombian broadcasting laws.</w:t>
      </w:r>
    </w:p>
    <w:bookmarkEnd w:id="21"/>
    <w:bookmarkStart w:id="22" w:name="Xabac8bdb2ce8a03e1acef7b6b593a4eee11d563"/>
    <w:p>
      <w:pPr>
        <w:pStyle w:val="Heading2"/>
      </w:pPr>
      <w:r>
        <w:t xml:space="preserve">Implementation Strategy in Colombia Bogotá</w:t>
      </w:r>
    </w:p>
    <w:p>
      <w:pPr>
        <w:pStyle w:val="FirstParagraph"/>
      </w:pPr>
      <w:r>
        <w:t xml:space="preserve">The rollout of the</w:t>
      </w:r>
      <w:r>
        <w:t xml:space="preserve"> </w:t>
      </w:r>
      <w:r>
        <w:rPr>
          <w:bCs/>
          <w:b/>
        </w:rPr>
        <w:t xml:space="preserve">Editor</w:t>
      </w:r>
      <w:r>
        <w:t xml:space="preserve"> </w:t>
      </w:r>
      <w:r>
        <w:t xml:space="preserve">across major media houses in Colombia Bogotá followed a phased approach designed to minimize disruption. The first phase involved pilot testing with two prominent digital news outlets. These partners provided feedback on user experience, focusing on how intuitive the navigation was for senior editors accustomed to legacy systems.</w:t>
      </w:r>
    </w:p>
    <w:p>
      <w:pPr>
        <w:pStyle w:val="BodyText"/>
      </w:pPr>
      <w:r>
        <w:t xml:space="preserve">The second phase focused on integration with existing analytics platforms widely used in Colombia Bogotá, such as local social media monitoring tools and regional ad-tech solutions. This ensured that the</w:t>
      </w:r>
      <w:r>
        <w:t xml:space="preserve"> </w:t>
      </w:r>
      <w:r>
        <w:rPr>
          <w:bCs/>
          <w:b/>
        </w:rPr>
        <w:t xml:space="preserve">Editor</w:t>
      </w:r>
      <w:r>
        <w:t xml:space="preserve"> </w:t>
      </w:r>
      <w:r>
        <w:t xml:space="preserve">did not operate in a silo but rather served as the central nervous system for content distribution.</w:t>
      </w:r>
    </w:p>
    <w:p>
      <w:pPr>
        <w:numPr>
          <w:ilvl w:val="0"/>
          <w:numId w:val="1001"/>
        </w:numPr>
        <w:pStyle w:val="Compact"/>
      </w:pPr>
      <w:r>
        <w:rPr>
          <w:bCs/>
          <w:b/>
        </w:rPr>
        <w:t xml:space="preserve">User Training:</w:t>
      </w:r>
      <w:r>
        <w:t xml:space="preserve"> </w:t>
      </w:r>
      <w:r>
        <w:t xml:space="preserve">Workshops were conducted in Bogotá, emphasizing how to utilize AI suggestions within the</w:t>
      </w:r>
      <w:r>
        <w:t xml:space="preserve"> </w:t>
      </w:r>
      <w:r>
        <w:rPr>
          <w:bCs/>
          <w:b/>
        </w:rPr>
        <w:t xml:space="preserve">Editor</w:t>
      </w:r>
      <w:r>
        <w:t xml:space="preserve">. Special attention was given to training on nuances of Spanish vocabulary that vary between regions (e.g., distinguishing between terms common in Bogotá versus those used in Medellín or Cali).</w:t>
      </w:r>
    </w:p>
    <w:p>
      <w:pPr>
        <w:numPr>
          <w:ilvl w:val="0"/>
          <w:numId w:val="1001"/>
        </w:numPr>
        <w:pStyle w:val="Compact"/>
      </w:pPr>
      <w:r>
        <w:rPr>
          <w:bCs/>
          <w:b/>
        </w:rPr>
        <w:t xml:space="preserve">Data Migration:</w:t>
      </w:r>
      <w:r>
        <w:t xml:space="preserve"> </w:t>
      </w:r>
      <w:r>
        <w:t xml:space="preserve">Ensuring that historical archives were correctly indexed and searchable within the new framework was a priority. The</w:t>
      </w:r>
      <w:r>
        <w:t xml:space="preserve"> </w:t>
      </w:r>
      <w:r>
        <w:rPr>
          <w:bCs/>
          <w:b/>
        </w:rPr>
        <w:t xml:space="preserve">Editor</w:t>
      </w:r>
      <w:r>
        <w:t xml:space="preserve"> </w:t>
      </w:r>
      <w:r>
        <w:t xml:space="preserve">successfully migrated over 50,000 articles while preserving metadata integrity.</w:t>
      </w:r>
    </w:p>
    <w:p>
      <w:pPr>
        <w:numPr>
          <w:ilvl w:val="0"/>
          <w:numId w:val="1001"/>
        </w:numPr>
        <w:pStyle w:val="Compact"/>
      </w:pPr>
      <w:r>
        <w:rPr>
          <w:bCs/>
          <w:b/>
        </w:rPr>
        <w:t xml:space="preserve">Cybersecurity Compliance:</w:t>
      </w:r>
      <w:r>
        <w:t xml:space="preserve"> </w:t>
      </w:r>
      <w:r>
        <w:t xml:space="preserve">Given the strict data protection laws in Colombia, the implementation team ensured that the cloud infrastructure supporting the</w:t>
      </w:r>
      <w:r>
        <w:t xml:space="preserve"> </w:t>
      </w:r>
      <w:r>
        <w:rPr>
          <w:bCs/>
          <w:b/>
        </w:rPr>
        <w:t xml:space="preserve">Editor</w:t>
      </w:r>
      <w:r>
        <w:t xml:space="preserve"> </w:t>
      </w:r>
      <w:r>
        <w:t xml:space="preserve">complied with local regulations regarding user data privacy.</w:t>
      </w:r>
    </w:p>
    <w:p>
      <w:pPr>
        <w:pStyle w:val="FirstParagraph"/>
      </w:pPr>
      <w:r>
        <w:rPr>
          <w:bCs/>
          <w:b/>
        </w:rPr>
        <w:t xml:space="preserve">Key Insight:</w:t>
      </w:r>
      <w:r>
        <w:t xml:space="preserve"> </w:t>
      </w:r>
      <w:r>
        <w:t xml:space="preserve">The success of the</w:t>
      </w:r>
      <w:r>
        <w:t xml:space="preserve"> </w:t>
      </w:r>
      <w:r>
        <w:rPr>
          <w:bCs/>
          <w:b/>
        </w:rPr>
        <w:t xml:space="preserve">Editor</w:t>
      </w:r>
      <w:r>
        <w:t xml:space="preserve">'s deployment in Colombia Bogotá was largely attributed to its flexibility. It allowed newsrooms to maintain their unique editorial voice while adopting standardized technical processes.</w:t>
      </w:r>
    </w:p>
    <w:bookmarkEnd w:id="22"/>
    <w:bookmarkStart w:id="23" w:name="tangible-results-and-impact"/>
    <w:p>
      <w:pPr>
        <w:pStyle w:val="Heading2"/>
      </w:pPr>
      <w:r>
        <w:t xml:space="preserve">Tangible Results and Impact</w:t>
      </w:r>
    </w:p>
    <w:p>
      <w:pPr>
        <w:pStyle w:val="FirstParagraph"/>
      </w:pPr>
      <w:r>
        <w:t xml:space="preserve">Six months post-implementation, the impact on productivity in Colombia Bogotá was measurable and significant. News organizations reported a 35% reduction in time-to-publish for digital articles. The automated tagging features within the</w:t>
      </w:r>
      <w:r>
        <w:t xml:space="preserve"> </w:t>
      </w:r>
      <w:r>
        <w:rPr>
          <w:bCs/>
          <w:b/>
        </w:rPr>
        <w:t xml:space="preserve">Editor</w:t>
      </w:r>
      <w:r>
        <w:t xml:space="preserve"> </w:t>
      </w:r>
      <w:r>
        <w:t xml:space="preserve">reduced errors in content categorization by nearly half, leading to improved audience targeting and higher engagement rates.</w:t>
      </w:r>
    </w:p>
    <w:p>
      <w:pPr>
        <w:pStyle w:val="BodyText"/>
      </w:pPr>
      <w:r>
        <w:t xml:space="preserve">Multilingual publishing saw the most dramatic improvement. Prior to adopting the</w:t>
      </w:r>
      <w:r>
        <w:t xml:space="preserve"> </w:t>
      </w:r>
      <w:r>
        <w:rPr>
          <w:bCs/>
          <w:b/>
        </w:rPr>
        <w:t xml:space="preserve">Editor</w:t>
      </w:r>
      <w:r>
        <w:t xml:space="preserve">, creating an English version of a Spanish article required manual translation of headlines and summaries, often taking two hours per piece. With the integrated translation assistance in the</w:t>
      </w:r>
      <w:r>
        <w:t xml:space="preserve"> </w:t>
      </w:r>
      <w:r>
        <w:rPr>
          <w:bCs/>
          <w:b/>
        </w:rPr>
        <w:t xml:space="preserve">Editor</w:t>
      </w:r>
      <w:r>
        <w:t xml:space="preserve">, this process was reduced to thirty minutes, allowing for near-simultaneous publication in both languages. This capability has positioned several Bogotá-based media outlets as leaders in bilingual journalism within Latin America.</w:t>
      </w:r>
    </w:p>
    <w:p>
      <w:pPr>
        <w:pStyle w:val="BodyText"/>
      </w:pPr>
      <w:r>
        <w:t xml:space="preserve">Furthermore, cost savings were realized through reduced reliance on external formatting agencies. By keeping the editing process entirely in-house using the</w:t>
      </w:r>
      <w:r>
        <w:t xml:space="preserve"> </w:t>
      </w:r>
      <w:r>
        <w:rPr>
          <w:bCs/>
          <w:b/>
        </w:rPr>
        <w:t xml:space="preserve">Editor</w:t>
      </w:r>
      <w:r>
        <w:t xml:space="preserve">, organizations optimized their operational budgets significantly.</w:t>
      </w:r>
    </w:p>
    <w:bookmarkEnd w:id="23"/>
    <w:bookmarkStart w:id="24" w:name="challenges-and-future-outlook"/>
    <w:p>
      <w:pPr>
        <w:pStyle w:val="Heading2"/>
      </w:pPr>
      <w:r>
        <w:t xml:space="preserve">Challenges and Future Outlook</w:t>
      </w:r>
    </w:p>
    <w:p>
      <w:pPr>
        <w:pStyle w:val="FirstParagraph"/>
      </w:pPr>
      <w:r>
        <w:t xml:space="preserve">No implementation is without its hurdles. The primary challenge faced in Colombia Bogotá was initial resistance to change among senior editorial staff who were accustomed to traditional workflows. Overcoming this required strong change management strategies, demonstrating the tangible benefits of the</w:t>
      </w:r>
      <w:r>
        <w:t xml:space="preserve"> </w:t>
      </w:r>
      <w:r>
        <w:rPr>
          <w:bCs/>
          <w:b/>
        </w:rPr>
        <w:t xml:space="preserve">Editor</w:t>
      </w:r>
      <w:r>
        <w:t xml:space="preserve"> </w:t>
      </w:r>
      <w:r>
        <w:t xml:space="preserve">through quick wins and success stories.</w:t>
      </w:r>
    </w:p>
    <w:p>
      <w:pPr>
        <w:pStyle w:val="BodyText"/>
      </w:pPr>
      <w:r>
        <w:t xml:space="preserve">Looking ahead, the trajectory for content creation tools in Colombia Bogotá points toward deeper artificial intelligence integration. The next iteration of the</w:t>
      </w:r>
      <w:r>
        <w:t xml:space="preserve"> </w:t>
      </w:r>
      <w:r>
        <w:rPr>
          <w:bCs/>
          <w:b/>
        </w:rPr>
        <w:t xml:space="preserve">Editor</w:t>
      </w:r>
      <w:r>
        <w:t xml:space="preserve">'s roadmap includes predictive analytics that suggest trending topics based on real-time social media conversations in the region. Additionally, there are plans to integrate voice-to-text dictation optimized for Spanish accents common in Colombia, further speeding up the drafting process.</w:t>
      </w:r>
    </w:p>
    <w:bookmarkEnd w:id="24"/>
    <w:bookmarkStart w:id="25" w:name="conclusion"/>
    <w:p>
      <w:pPr>
        <w:pStyle w:val="Heading2"/>
      </w:pPr>
      <w:r>
        <w:t xml:space="preserve">Conclusion</w:t>
      </w:r>
    </w:p>
    <w:p>
      <w:pPr>
        <w:pStyle w:val="FirstParagraph"/>
      </w:pPr>
      <w:r>
        <w:t xml:space="preserve">The case of deploying the</w:t>
      </w:r>
      <w:r>
        <w:t xml:space="preserve"> </w:t>
      </w:r>
      <w:r>
        <w:rPr>
          <w:bCs/>
          <w:b/>
        </w:rPr>
        <w:t xml:space="preserve">Editor</w:t>
      </w:r>
      <w:r>
        <w:t xml:space="preserve"> </w:t>
      </w:r>
      <w:r>
        <w:t xml:space="preserve">in Colombia Bogotá serves as a blueprint for digital transformation in emerging media markets. It demonstrates that successful technology adoption requires more than just software installation; it demands a deep understanding of local linguistic nuances, regulatory environments, and professional workflows.</w:t>
      </w:r>
    </w:p>
    <w:p>
      <w:pPr>
        <w:pStyle w:val="BodyText"/>
      </w:pPr>
      <w:r>
        <w:t xml:space="preserve">By embracing the</w:t>
      </w:r>
      <w:r>
        <w:t xml:space="preserve"> </w:t>
      </w:r>
      <w:r>
        <w:rPr>
          <w:bCs/>
          <w:b/>
        </w:rPr>
        <w:t xml:space="preserve">Editor</w:t>
      </w:r>
      <w:r>
        <w:t xml:space="preserve">, media organizations in Colombia Bogotá have not only modernized their operations but have also enhanced their global competitiveness. They are now better equipped to tell stories that resonate locally while reaching audiences globally. As the digital landscape continues to evolve, the partnership between innovative tools like the</w:t>
      </w:r>
      <w:r>
        <w:t xml:space="preserve"> </w:t>
      </w:r>
      <w:r>
        <w:rPr>
          <w:bCs/>
          <w:b/>
        </w:rPr>
        <w:t xml:space="preserve">Editor</w:t>
      </w:r>
      <w:r>
        <w:t xml:space="preserve"> </w:t>
      </w:r>
      <w:r>
        <w:t xml:space="preserve">and dynamic markets like Colombia Bogotá will remain a critical driver of content excellence and operational efficiency.</w:t>
      </w:r>
    </w:p>
    <w:p>
      <w:pPr>
        <w:pStyle w:val="BodyText"/>
      </w:pPr>
      <w:r>
        <w:t xml:space="preserve">In conclusion, this case study affirms that when technology is adapted with cultural sensitivity and strategic foresight, it becomes a powerful enabler of creativity. For any organization looking to scale its publishing capabilities in Latin America, the experience of Colombia Bogotá offers valuable lessons on the transformative power of the right digital editor.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Digital Editor in Colombia Bogotá</dc:title>
  <dc:creator/>
  <dc:language>en</dc:language>
  <cp:keywords/>
  <dcterms:created xsi:type="dcterms:W3CDTF">2026-07-29T12:51:31Z</dcterms:created>
  <dcterms:modified xsi:type="dcterms:W3CDTF">2026-07-29T12:51:31Z</dcterms:modified>
</cp:coreProperties>
</file>

<file path=docProps/custom.xml><?xml version="1.0" encoding="utf-8"?>
<Properties xmlns="http://schemas.openxmlformats.org/officeDocument/2006/custom-properties" xmlns:vt="http://schemas.openxmlformats.org/officeDocument/2006/docPropsVTypes"/>
</file>