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Editor</w:t>
      </w:r>
      <w:r>
        <w:t xml:space="preserve"> </w:t>
      </w:r>
      <w:r>
        <w:t xml:space="preserve">Solutions</w:t>
      </w:r>
      <w:r>
        <w:t xml:space="preserve"> </w:t>
      </w:r>
      <w:r>
        <w:t xml:space="preserve">in</w:t>
      </w:r>
      <w:r>
        <w:t xml:space="preserve"> </w:t>
      </w:r>
      <w:r>
        <w:t xml:space="preserve">Germany</w:t>
      </w:r>
      <w:r>
        <w:t xml:space="preserve"> </w:t>
      </w:r>
      <w:r>
        <w:t xml:space="preserve">Frankfurt</w:t>
      </w:r>
    </w:p>
    <w:bookmarkStart w:id="28" w:name="Xff2c0c3c4bf62ae6625d0105bd1d7404281aea4"/>
    <w:p>
      <w:pPr>
        <w:pStyle w:val="Heading1"/>
      </w:pPr>
      <w:r>
        <w:t xml:space="preserve">Digital Transformation in Central Europe: A Comprehensive Case Study on Editor Infrastructure in Germany Frankfurt</w:t>
      </w:r>
    </w:p>
    <w:p>
      <w:pPr>
        <w:pStyle w:val="FirstParagraph"/>
      </w:pPr>
      <w:r>
        <w:t xml:space="preserve">In the rapidly evolving landscape of digital media, content creation platforms, and collaborative software development, the choice of infrastructure is not merely a technical decision but a strategic imperative. This case study examines the deployment of a high-performance</w:t>
      </w:r>
      <w:r>
        <w:t xml:space="preserve"> </w:t>
      </w:r>
      <w:r>
        <w:rPr>
          <w:bCs/>
          <w:b/>
        </w:rPr>
        <w:t xml:space="preserve">Editor</w:t>
      </w:r>
      <w:r>
        <w:t xml:space="preserve"> </w:t>
      </w:r>
      <w:r>
        <w:t xml:space="preserve">environment specifically tailored for operations in</w:t>
      </w:r>
      <w:r>
        <w:t xml:space="preserve"> </w:t>
      </w:r>
      <w:r>
        <w:rPr>
          <w:bCs/>
          <w:b/>
        </w:rPr>
        <w:t xml:space="preserve">Germany Frankfurt</w:t>
      </w:r>
      <w:r>
        <w:t xml:space="preserve">. As companies increasingly recognize data sovereignty and latency as critical components of user experience, the intersection of robust editing software and localized hosting has become a focal point for IT directors and CTOs alike.</w:t>
      </w:r>
    </w:p>
    <w:bookmarkStart w:id="20" w:name="Xa0f3cbea6d84487157a985fbcbb5c197e8344d1"/>
    <w:p>
      <w:pPr>
        <w:pStyle w:val="Heading2"/>
      </w:pPr>
      <w:r>
        <w:t xml:space="preserve">The Challenge: Scaling Editorial Workflows with Data Sovereignty</w:t>
      </w:r>
    </w:p>
    <w:p>
      <w:pPr>
        <w:pStyle w:val="FirstParagraph"/>
      </w:pPr>
      <w:r>
        <w:t xml:space="preserve">The client in question was a multinational digital publishing conglomerate facing significant hurdles in managing their content lifecycle. Their primary pain points involved three distinct areas:</w:t>
      </w:r>
    </w:p>
    <w:p>
      <w:pPr>
        <w:numPr>
          <w:ilvl w:val="0"/>
          <w:numId w:val="1001"/>
        </w:numPr>
        <w:pStyle w:val="Compact"/>
      </w:pPr>
      <w:r>
        <w:rPr>
          <w:bCs/>
          <w:b/>
        </w:rPr>
        <w:t xml:space="preserve">Latency and Performance:</w:t>
      </w:r>
      <w:r>
        <w:t xml:space="preserve"> </w:t>
      </w:r>
      <w:r>
        <w:t xml:space="preserve">The existing editor infrastructure, hosted in North America, resulted in noticeable lag for editors working within Europe. In real-time collaborative editing environments, even milliseconds of delay can disrupt workflow efficiency and user satisfaction.</w:t>
      </w:r>
    </w:p>
    <w:p>
      <w:pPr>
        <w:numPr>
          <w:ilvl w:val="0"/>
          <w:numId w:val="1001"/>
        </w:numPr>
        <w:pStyle w:val="Compact"/>
      </w:pPr>
      <w:r>
        <w:rPr>
          <w:bCs/>
          <w:b/>
        </w:rPr>
        <w:t xml:space="preserve">Data Compliance (GDPR):</w:t>
      </w:r>
      <w:r>
        <w:t xml:space="preserve"> </w:t>
      </w:r>
      <w:r>
        <w:t xml:space="preserve">With operations expanding across the European Union, strict adherence to the General Data Protection Regulation (GDPR) became non-negotiable. Storing editorial drafts, metadata, and user analytics on servers outside of Europe posed severe legal and reputational risks.</w:t>
      </w:r>
    </w:p>
    <w:p>
      <w:pPr>
        <w:numPr>
          <w:ilvl w:val="0"/>
          <w:numId w:val="1001"/>
        </w:numPr>
        <w:pStyle w:val="Compact"/>
      </w:pPr>
      <w:r>
        <w:rPr>
          <w:bCs/>
          <w:b/>
        </w:rPr>
        <w:t xml:space="preserve">Scalability:</w:t>
      </w:r>
      <w:r>
        <w:t xml:space="preserve"> </w:t>
      </w:r>
      <w:r>
        <w:t xml:space="preserve">During peak content release cycles, the legacy editor system struggled to handle concurrent users, leading to downtime and lost productivity.</w:t>
      </w:r>
    </w:p>
    <w:p>
      <w:pPr>
        <w:pStyle w:val="FirstParagraph"/>
      </w:pPr>
      <w:r>
        <w:t xml:space="preserve">The goal was clear: migrate the core</w:t>
      </w:r>
      <w:r>
        <w:t xml:space="preserve"> </w:t>
      </w:r>
      <w:r>
        <w:rPr>
          <w:bCs/>
          <w:b/>
        </w:rPr>
        <w:t xml:space="preserve">Editor</w:t>
      </w:r>
      <w:r>
        <w:t xml:space="preserve"> </w:t>
      </w:r>
      <w:r>
        <w:t xml:space="preserve">capabilities to a location that offered low latency for European users while ensuring full compliance with local regulations. This necessitated a move towards a strategic hub within Europe.</w:t>
      </w:r>
    </w:p>
    <w:bookmarkEnd w:id="20"/>
    <w:bookmarkStart w:id="22" w:name="X7b0800423c753cd3bc72d88cbffac21f5aba7f0"/>
    <w:p>
      <w:pPr>
        <w:pStyle w:val="Heading2"/>
      </w:pPr>
      <w:r>
        <w:t xml:space="preserve">The Solution: Leveraging the Germany Frankfurt Cloud Ecosystem</w:t>
      </w:r>
    </w:p>
    <w:p>
      <w:pPr>
        <w:pStyle w:val="FirstParagraph"/>
      </w:pPr>
      <w:r>
        <w:t xml:space="preserve">To address these challenges, the engineering team selected to deploy the new editor stack in</w:t>
      </w:r>
      <w:r>
        <w:t xml:space="preserve"> </w:t>
      </w:r>
      <w:r>
        <w:rPr>
          <w:bCs/>
          <w:b/>
        </w:rPr>
        <w:t xml:space="preserve">Germany Frankfurt</w:t>
      </w:r>
      <w:r>
        <w:t xml:space="preserve">. This decision was driven by several factors inherent to this specific region. Frank is a major global digital hub, hosting some of Europe's largest data centers and connectivity exchanges (such as DE-CIX). By locating the</w:t>
      </w:r>
      <w:r>
        <w:t xml:space="preserve"> </w:t>
      </w:r>
      <w:r>
        <w:rPr>
          <w:bCs/>
          <w:b/>
        </w:rPr>
        <w:t xml:space="preserve">Editor</w:t>
      </w:r>
      <w:r>
        <w:t xml:space="preserve"> </w:t>
      </w:r>
      <w:r>
        <w:t xml:space="preserve">infrastructure here, the company could leverage existing high-speed fiber networks that connect directly to major internet backbones in Western and Central Europe.</w:t>
      </w:r>
    </w:p>
    <w:bookmarkStart w:id="21" w:name="technical-architecture"/>
    <w:p>
      <w:pPr>
        <w:pStyle w:val="Heading3"/>
      </w:pPr>
      <w:r>
        <w:t xml:space="preserve">Technical Architecture</w:t>
      </w:r>
    </w:p>
    <w:p>
      <w:pPr>
        <w:pStyle w:val="FirstParagraph"/>
      </w:pPr>
      <w:r>
        <w:t xml:space="preserve">The architecture was re-engineered to utilize containerized microservices. The core text processing and media rendering engines of the</w:t>
      </w:r>
      <w:r>
        <w:t xml:space="preserve"> </w:t>
      </w:r>
      <w:r>
        <w:rPr>
          <w:bCs/>
          <w:b/>
        </w:rPr>
        <w:t xml:space="preserve">Editor</w:t>
      </w:r>
      <w:r>
        <w:t xml:space="preserve"> </w:t>
      </w:r>
      <w:r>
        <w:t xml:space="preserve">were deployed on Kubernetes clusters hosted within a major cloud provider's Frankfurt region. This setup allowed for:</w:t>
      </w:r>
    </w:p>
    <w:p>
      <w:pPr>
        <w:numPr>
          <w:ilvl w:val="0"/>
          <w:numId w:val="1002"/>
        </w:numPr>
        <w:pStyle w:val="Compact"/>
      </w:pPr>
      <w:r>
        <w:rPr>
          <w:bCs/>
          <w:b/>
        </w:rPr>
        <w:t xml:space="preserve">Elastic Scalability:</w:t>
      </w:r>
      <w:r>
        <w:t xml:space="preserve"> </w:t>
      </w:r>
      <w:r>
        <w:t xml:space="preserve">Auto-scaling groups automatically adjusted resources based on real-time demand, ensuring that peak editorial workloads never caused system degradation.</w:t>
      </w:r>
    </w:p>
    <w:p>
      <w:pPr>
        <w:numPr>
          <w:ilvl w:val="0"/>
          <w:numId w:val="1002"/>
        </w:numPr>
        <w:pStyle w:val="Compact"/>
      </w:pPr>
      <w:r>
        <w:rPr>
          <w:bCs/>
          <w:b/>
        </w:rPr>
        <w:t xml:space="preserve">Data Residency:</w:t>
      </w:r>
      <w:r>
        <w:t xml:space="preserve">All data, including database entries and cached assets, remained strictly within the borders of Germany. This satisfied the most rigorous interpretations of GDPR requirements regarding cross-border data transfer.</w:t>
      </w:r>
    </w:p>
    <w:p>
      <w:pPr>
        <w:numPr>
          <w:ilvl w:val="0"/>
          <w:numId w:val="1002"/>
        </w:numPr>
        <w:pStyle w:val="Compact"/>
      </w:pPr>
      <w:r>
        <w:rPr>
          <w:bCs/>
          <w:b/>
        </w:rPr>
        <w:t xml:space="preserve">Low-Latency CDN Integration:</w:t>
      </w:r>
      <w:r>
        <w:t xml:space="preserve"> </w:t>
      </w:r>
      <w:r>
        <w:t xml:space="preserve">A Content Delivery Network was configured with edge nodes originating from Frankfurt, caching static editorial resources to ensure rapid load times for end-users across Europe.</w:t>
      </w:r>
    </w:p>
    <w:bookmarkEnd w:id="21"/>
    <w:bookmarkEnd w:id="22"/>
    <w:bookmarkStart w:id="24" w:name="X7de59fedf2f8d16d7eb85cf9159c3ef40dd6d6e"/>
    <w:p>
      <w:pPr>
        <w:pStyle w:val="Heading2"/>
      </w:pPr>
      <w:r>
        <w:t xml:space="preserve">The Impact: Measurable Improvements in Efficiency and Compliance</w:t>
      </w:r>
    </w:p>
    <w:p>
      <w:pPr>
        <w:pStyle w:val="FirstParagraph"/>
      </w:pPr>
      <w:r>
        <w:t xml:space="preserve">Six months post-deployment, the results were transformative. The shift to an editor infrastructure based in</w:t>
      </w:r>
      <w:r>
        <w:t xml:space="preserve"> </w:t>
      </w:r>
      <w:r>
        <w:rPr>
          <w:bCs/>
          <w:b/>
        </w:rPr>
        <w:t xml:space="preserve">Germany Frankfurt</w:t>
      </w:r>
      <w:r>
        <w:t xml:space="preserve"> </w:t>
      </w:r>
      <w:r>
        <w:t xml:space="preserve">yielded immediate quantitative benefits.</w:t>
      </w:r>
    </w:p>
    <w:bookmarkStart w:id="23" w:name="key-performance-indicators-kpis"/>
    <w:p>
      <w:pPr>
        <w:pStyle w:val="Heading3"/>
      </w:pPr>
      <w:r>
        <w:t xml:space="preserve">Key Performance Indicators (KPIs)</w:t>
      </w:r>
    </w:p>
    <w:p>
      <w:pPr>
        <w:numPr>
          <w:ilvl w:val="0"/>
          <w:numId w:val="1003"/>
        </w:numPr>
        <w:pStyle w:val="Compact"/>
      </w:pPr>
      <w:r>
        <w:rPr>
          <w:bCs/>
          <w:b/>
        </w:rPr>
        <w:t xml:space="preserve">Lag Reduction:</w:t>
      </w:r>
      <w:r>
        <w:t xml:space="preserve">Ping times for editor clients located in Europe dropped from an average of 120ms to under 5ms. This near-instantaneous feedback loop significantly improved the experience for writers using rich-text collaborative features.</w:t>
      </w:r>
    </w:p>
    <w:p>
      <w:pPr>
        <w:numPr>
          <w:ilvl w:val="0"/>
          <w:numId w:val="1003"/>
        </w:numPr>
        <w:pStyle w:val="Compact"/>
      </w:pPr>
      <w:r>
        <w:rPr>
          <w:bCs/>
          <w:b/>
        </w:rPr>
        <w:t xml:space="preserve">Uptime Reliability:</w:t>
      </w:r>
      <w:r>
        <w:t xml:space="preserve">The new architecture achieved 99.99% uptime during peak publishing windows, compared to previous outages that cost an estimated €50,000 per incident in lost productivity.</w:t>
      </w:r>
    </w:p>
    <w:p>
      <w:pPr>
        <w:numPr>
          <w:ilvl w:val="0"/>
          <w:numId w:val="1003"/>
        </w:numPr>
        <w:pStyle w:val="Compact"/>
      </w:pPr>
      <w:r>
        <w:rPr>
          <w:bCs/>
          <w:b/>
        </w:rPr>
        <w:t xml:space="preserve">Audit Efficiency:</w:t>
      </w:r>
      <w:r>
        <w:t xml:space="preserve">Data residency in Germany simplified compliance audits. The legal team reported a 40% reduction in time spent on data protection inquiries, as proof of local storage was immediate and verifiable.</w:t>
      </w:r>
    </w:p>
    <w:bookmarkEnd w:id="23"/>
    <w:bookmarkEnd w:id="24"/>
    <w:bookmarkStart w:id="25" w:name="why-germany-frankfurt"/>
    <w:p>
      <w:pPr>
        <w:pStyle w:val="Heading2"/>
      </w:pPr>
      <w:r>
        <w:t xml:space="preserve">Why Germany Frankfurt?</w:t>
      </w:r>
    </w:p>
    <w:p>
      <w:pPr>
        <w:pStyle w:val="FirstParagraph"/>
      </w:pPr>
      <w:r>
        <w:t xml:space="preserve">The choice of location was not arbitrary. Frankfurt am Main is widely regarded as the financial and data hub of Europe. For an enterprise managing sensitive editorial content, being physically and legally within the German jurisdiction provides a layer of stability that other regions may lack. Furthermore, the telecommunications infrastructure in Germany is among the most robust in the world.</w:t>
      </w:r>
    </w:p>
    <w:p>
      <w:pPr>
        <w:pStyle w:val="BodyText"/>
      </w:pPr>
      <w:r>
        <w:t xml:space="preserve">Additionally, there is a cultural alignment with German engineering principles. The precision required for high-stakes editorial processes mirrors the reliability expected from IT services provided by vendors operating out of Frankfurt. Local support teams are readily available to address technical issues during European business hours, ensuring that any disruptions to the</w:t>
      </w:r>
      <w:r>
        <w:t xml:space="preserve"> </w:t>
      </w:r>
      <w:r>
        <w:rPr>
          <w:bCs/>
          <w:b/>
        </w:rPr>
        <w:t xml:space="preserve">Editor</w:t>
      </w:r>
      <w:r>
        <w:t xml:space="preserve"> </w:t>
      </w:r>
      <w:r>
        <w:t xml:space="preserve">platform are resolved rapidly.</w:t>
      </w:r>
    </w:p>
    <w:bookmarkEnd w:id="25"/>
    <w:bookmarkStart w:id="26" w:name="lessons-learned-and-best-practices"/>
    <w:p>
      <w:pPr>
        <w:pStyle w:val="Heading2"/>
      </w:pPr>
      <w:r>
        <w:t xml:space="preserve">Lessons Learned and Best Practices</w:t>
      </w:r>
    </w:p>
    <w:p>
      <w:pPr>
        <w:pStyle w:val="FirstParagraph"/>
      </w:pPr>
      <w:r>
        <w:t xml:space="preserve">This case study highlights several best practices for organizations considering similar infrastructure moves:</w:t>
      </w:r>
    </w:p>
    <w:p>
      <w:pPr>
        <w:numPr>
          <w:ilvl w:val="0"/>
          <w:numId w:val="1004"/>
        </w:numPr>
        <w:pStyle w:val="Compact"/>
      </w:pPr>
      <w:r>
        <w:rPr>
          <w:bCs/>
          <w:b/>
        </w:rPr>
        <w:t xml:space="preserve">Prioritize Latency for Real-Time Tools:</w:t>
      </w:r>
      <w:r>
        <w:t xml:space="preserve">If your product relies on real-time collaboration, such as a live text or code editor, hosting proximity is paramount. A move to a central European hub like Frankfurt can dramatically improve the user experience compared to trans-Atlantic hosting.</w:t>
      </w:r>
    </w:p>
    <w:p>
      <w:pPr>
        <w:numPr>
          <w:ilvl w:val="0"/>
          <w:numId w:val="1004"/>
        </w:numPr>
        <w:pStyle w:val="Compact"/>
      </w:pPr>
      <w:r>
        <w:rPr>
          <w:bCs/>
          <w:b/>
        </w:rPr>
        <w:t xml:space="preserve">Integrate Compliance Early:</w:t>
      </w:r>
      <w:r>
        <w:t xml:space="preserve">Data privacy regulations are becoming stricter globally. Designing your infrastructure with data residency in mind from the outset prevents costly re-architecting later.</w:t>
      </w:r>
    </w:p>
    <w:p>
      <w:pPr>
        <w:numPr>
          <w:ilvl w:val="0"/>
          <w:numId w:val="1004"/>
        </w:numPr>
        <w:pStyle w:val="Compact"/>
      </w:pPr>
      <w:r>
        <w:rPr>
          <w:bCs/>
          <w:b/>
        </w:rPr>
        <w:t xml:space="preserve">Leverage Local Connectivity Hubs:</w:t>
      </w:r>
      <w:r>
        <w:t xml:space="preserve">Frankfurt’s position as a peering center allows for superior network performance. Utilizing regions with strong internet exchange facilities can optimize traffic routing and reduce packet loss.</w:t>
      </w:r>
    </w:p>
    <w:bookmarkEnd w:id="26"/>
    <w:bookmarkStart w:id="27" w:name="conclusion"/>
    <w:p>
      <w:pPr>
        <w:pStyle w:val="Heading2"/>
      </w:pPr>
      <w:r>
        <w:t xml:space="preserve">Conclusion</w:t>
      </w:r>
    </w:p>
    <w:p>
      <w:pPr>
        <w:pStyle w:val="FirstParagraph"/>
      </w:pPr>
      <w:r>
        <w:t xml:space="preserve">The migration of the corporate Editor platform to Germany Frankfurt serves as a prime example of how strategic infrastructure planning can solve complex operational challenges. By aligning technical performance with regulatory compliance, the organization not only improved its editorial workflows but also fortified its legal standing in the European market.</w:t>
      </w:r>
    </w:p>
    <w:p>
      <w:pPr>
        <w:pStyle w:val="BodyText"/>
      </w:pPr>
      <w:r>
        <w:t xml:space="preserve">As digital transformation continues to reshape industries, the ability to host critical software components like editors in locations that balance speed, security, and sovereignty will remain a key differentiator for successful enterprises. For any business operating in or targeting the DACH region (Germany, Austria, Switzerland), investing in a robust infrastructure located in Germany Frankfurt is not just an option; it is a necessity for maintaining competitive advantage.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Editor Solutions in Germany Frankfurt</dc:title>
  <dc:creator/>
  <dc:language>en</dc:language>
  <cp:keywords/>
  <dcterms:created xsi:type="dcterms:W3CDTF">2026-07-29T04:10:01Z</dcterms:created>
  <dcterms:modified xsi:type="dcterms:W3CDTF">2026-07-29T04:10:01Z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