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65a9fbc82c3bde27fe73e23d1caa81b9df7246f"/>
    <w:p>
      <w:pPr>
        <w:pStyle w:val="Heading1"/>
      </w:pPr>
      <w:r>
        <w:t xml:space="preserve">Transforming Digital Publishing Through Precision Editing in the Heart of Global Media</w:t>
      </w:r>
    </w:p>
    <w:p>
      <w:pPr>
        <w:pStyle w:val="FirstParagraph"/>
      </w:pPr>
      <w:r>
        <w:rPr>
          <w:iCs/>
          <w:i/>
          <w:bCs/>
          <w:b/>
        </w:rPr>
        <w:t xml:space="preserve">This Case Study details the strategic deployment and impact of a specialized Editor interface within United Kingdom London, highlighting how tailored editorial tools resolve complex content management challenges.</w:t>
      </w:r>
    </w:p>
    <w:bookmarkStart w:id="20" w:name="executive-summary"/>
    <w:p>
      <w:pPr>
        <w:pStyle w:val="Heading2"/>
      </w:pPr>
      <w:r>
        <w:t xml:space="preserve">1. Executive Summary</w:t>
      </w:r>
    </w:p>
    <w:p>
      <w:pPr>
        <w:pStyle w:val="FirstParagraph"/>
      </w:pPr>
      <w:r>
        <w:t xml:space="preserve">In the rapidly evolving landscape of digital media and corporate communications, the role of an</w:t>
      </w:r>
      <w:r>
        <w:t xml:space="preserve"> </w:t>
      </w:r>
      <w:r>
        <w:rPr>
          <w:u w:val="single"/>
          <w:iCs/>
          <w:i/>
          <w:bCs/>
          <w:b/>
        </w:rPr>
        <w:t xml:space="preserve">Edito</w:t>
      </w:r>
      <w:r>
        <w:t xml:space="preserve">r extends far beyond simple proofreading. In a metropolitan hub as fast-paced and regulated as</w:t>
      </w:r>
      <w:r>
        <w:t xml:space="preserve"> </w:t>
      </w:r>
      <w:r>
        <w:rPr>
          <w:iCs/>
          <w:i/>
          <w:bCs/>
          <w:b/>
        </w:rPr>
        <w:t xml:space="preserve">United Kingdom London</w:t>
      </w:r>
      <w:r>
        <w:t xml:space="preserve">, organizations face unique pressures regarding data privacy, brand consistency, and regulatory compliance. This case study examines the implementation of an advanced Editor platform designed specifically for high-volume content creation in this region. The primary objective was to streamline workflows, ensure adherence to UK-specific legal standards (including GDPR), and enhance the overall quality of digital output through intelligent editing assistance.</w:t>
      </w:r>
    </w:p>
    <w:bookmarkEnd w:id="20"/>
    <w:bookmarkStart w:id="21" w:name="X78d5df96550808ec7bd1eb58cc75f3a96b36cbd"/>
    <w:p>
      <w:pPr>
        <w:pStyle w:val="Heading2"/>
      </w:pPr>
      <w:r>
        <w:t xml:space="preserve">2. Client Profile: A Leading Financial Tech Firm</w:t>
      </w:r>
    </w:p>
    <w:p>
      <w:pPr>
        <w:pStyle w:val="FirstParagraph"/>
      </w:pPr>
      <w:r>
        <w:t xml:space="preserve">The subject of this study is a prominent financial technology company headquartered in</w:t>
      </w:r>
      <w:r>
        <w:t xml:space="preserve"> </w:t>
      </w:r>
      <w:r>
        <w:rPr>
          <w:iCs/>
          <w:i/>
          <w:bCs/>
          <w:b/>
        </w:rPr>
        <w:t xml:space="preserve">United Kingdom London</w:t>
      </w:r>
      <w:r>
        <w:t xml:space="preserve">. With over 5,000 employees and operations spanning across Europe, the firm produces thousands of articles, compliance reports, marketing materials, and internal communications monthly. Their content strategy relies heavily on maintaining trust through accuracy and clarity. However prior to intervention the client struggled with inconsistent messaging delays in publication cycles due to manual bottlenecks and frequent errors related to UK-specific terminology and legal phrasing.</w:t>
      </w:r>
    </w:p>
    <w:bookmarkEnd w:id="21"/>
    <w:bookmarkStart w:id="22" w:name="the-challenge"/>
    <w:p>
      <w:pPr>
        <w:pStyle w:val="Heading2"/>
      </w:pPr>
      <w:r>
        <w:t xml:space="preserve">3. The Challenge</w:t>
      </w:r>
    </w:p>
    <w:p>
      <w:pPr>
        <w:pStyle w:val="FirstParagraph"/>
      </w:pPr>
      <w:r>
        <w:t xml:space="preserve">The core challenges faced by the organization were multifaceted:</w:t>
      </w:r>
    </w:p>
    <w:p>
      <w:pPr>
        <w:pStyle w:val="BodyText"/>
      </w:pPr>
      <w:r>
        <w:rPr>
          <w:bCs/>
          <w:b/>
        </w:rPr>
        <w:t xml:space="preserve">Pace vs. Quality:</w:t>
      </w:r>
      <w:r>
        <w:t xml:space="preserve"> </w:t>
      </w:r>
      <w:r>
        <w:t xml:space="preserve">The need for real-time news updates in</w:t>
      </w:r>
      <w:r>
        <w:t xml:space="preserve"> </w:t>
      </w:r>
      <w:r>
        <w:rPr>
          <w:iCs/>
          <w:i/>
          <w:bCs/>
          <w:b/>
        </w:rPr>
        <w:t xml:space="preserve">United Kingdom London</w:t>
      </w:r>
      <w:r>
        <w:t xml:space="preserve">'s competitive financial sector meant that speed often compromised accuracy.</w:t>
      </w:r>
    </w:p>
    <w:p>
      <w:pPr>
        <w:pStyle w:val="BodyText"/>
      </w:pPr>
      <w:r>
        <w:rPr>
          <w:bCs/>
          <w:b/>
        </w:rPr>
        <w:t xml:space="preserve">Regulatory Complexity:</w:t>
      </w:r>
    </w:p>
    <w:p>
      <w:pPr>
        <w:pStyle w:val="BodyText"/>
      </w:pPr>
      <w:r>
        <w:t xml:space="preserve">This section requires significant refinement as it currently lacks depth. The Editor must be capable of understanding the nuances of Financial Conduct Authority (FCA) guidelines which are specific to the</w:t>
      </w:r>
      <w:r>
        <w:t xml:space="preserve"> </w:t>
      </w:r>
      <w:r>
        <w:rPr>
          <w:iCs/>
          <w:i/>
          <w:bCs/>
          <w:b/>
        </w:rPr>
        <w:t xml:space="preserve">United Kingdom London</w:t>
      </w:r>
      <w:r>
        <w:t xml:space="preserve"> </w:t>
      </w:r>
      <w:r>
        <w:t xml:space="preserve">jurisdiction. Generic editing tools failed to catch subtle compliance violations.</w:t>
      </w:r>
    </w:p>
    <w:p>
      <w:pPr>
        <w:pStyle w:val="BodyText"/>
      </w:pPr>
      <w:r>
        <w:rPr>
          <w:bCs/>
          <w:b/>
        </w:rPr>
        <w:t xml:space="preserve">Collaborative Friction:</w:t>
      </w:r>
      <w:r>
        <w:t xml:space="preserve"> </w:t>
      </w:r>
      <w:r>
        <w:t xml:space="preserve">Multiple editors working simultaneously on shared documents caused version control issues and conflicts within the existing Editor interface.</w:t>
      </w:r>
    </w:p>
    <w:p>
      <w:pPr>
        <w:pStyle w:val="BodyText"/>
      </w:pPr>
      <w:r>
        <w:t xml:space="preserve">Tone Consistency:: Ensuring that the brand voice remained professional yet accessible across diverse audiences required rigorous oversight that was manually unsustainable.</w:t>
      </w:r>
    </w:p>
    <w:bookmarkEnd w:id="22"/>
    <w:bookmarkStart w:id="26" w:name="X5bd7433c5bbbfb1057d00e5d1c87ec6e8a4f6b4"/>
    <w:p>
      <w:pPr>
        <w:pStyle w:val="Heading2"/>
      </w:pPr>
      <w:r>
        <w:t xml:space="preserve">4. The Solution: Deploying a Specialized Editor</w:t>
      </w:r>
    </w:p>
    <w:p>
      <w:pPr>
        <w:pStyle w:val="FirstParagraph"/>
      </w:pPr>
      <w:r>
        <w:t xml:space="preserve">To address these challenges, the client integrated a next-generation</w:t>
      </w:r>
      <w:r>
        <w:t xml:space="preserve"> </w:t>
      </w:r>
      <w:r>
        <w:rPr>
          <w:u w:val="single"/>
          <w:iCs/>
          <w:i/>
          <w:bCs/>
          <w:b/>
        </w:rPr>
        <w:t xml:space="preserve">Edito</w:t>
      </w:r>
      <w:r>
        <w:t xml:space="preserve">r system. This was not merely a spell-checker but a comprehensive content governance platform tailored for the</w:t>
      </w:r>
      <w:r>
        <w:t xml:space="preserve"> </w:t>
      </w:r>
      <w:r>
        <w:rPr>
          <w:iCs/>
          <w:i/>
          <w:bCs/>
          <w:b/>
        </w:rPr>
        <w:t xml:space="preserve">United Kingdom London</w:t>
      </w:r>
      <w:r>
        <w:t xml:space="preserve"> </w:t>
      </w:r>
      <w:r>
        <w:t xml:space="preserve">market. The solution involved three key components:</w:t>
      </w:r>
    </w:p>
    <w:bookmarkStart w:id="23" w:name="a.-context-aware-editing-engine"/>
    <w:p>
      <w:pPr>
        <w:pStyle w:val="Heading3"/>
      </w:pPr>
      <w:r>
        <w:t xml:space="preserve">A. Context-Aware Editing Engine</w:t>
      </w:r>
    </w:p>
    <w:p>
      <w:pPr>
        <w:pStyle w:val="FirstParagraph"/>
      </w:pPr>
      <w:r>
        <w:t xml:space="preserve">The Editor utilizes artificial intelligence trained on vast datasets of British English and financial regulatory texts. It recognizes context-specific errors that standard tools miss. For instance, it differentiates between "compliance" in a legal sense versus general adherence, ensuring precision for the</w:t>
      </w:r>
      <w:r>
        <w:t xml:space="preserve"> </w:t>
      </w:r>
      <w:r>
        <w:rPr>
          <w:iCs/>
          <w:i/>
          <w:bCs/>
          <w:b/>
        </w:rPr>
        <w:t xml:space="preserve">United Kingdom London</w:t>
      </w:r>
      <w:r>
        <w:t xml:space="preserve"> </w:t>
      </w:r>
      <w:r>
        <w:t xml:space="preserve">audience.</w:t>
      </w:r>
    </w:p>
    <w:bookmarkEnd w:id="23"/>
    <w:bookmarkStart w:id="24" w:name="b.-real-time-collaboration-features"/>
    <w:p>
      <w:pPr>
        <w:pStyle w:val="Heading3"/>
      </w:pPr>
      <w:r>
        <w:t xml:space="preserve">B. Real-Time Collaboration Features</w:t>
      </w:r>
    </w:p>
    <w:p>
      <w:pPr>
        <w:pStyle w:val="FirstParagraph"/>
      </w:pPr>
      <w:r>
        <w:t xml:space="preserve">The Editor supports multi-user environments with granular permission settings. Senior editors in</w:t>
      </w:r>
      <w:r>
        <w:t xml:space="preserve"> </w:t>
      </w:r>
      <w:r>
        <w:rPr>
          <w:iCs/>
          <w:i/>
          <w:bCs/>
          <w:b/>
        </w:rPr>
        <w:t xml:space="preserve">United Kingdom London</w:t>
      </w:r>
      <w:r>
        <w:t xml:space="preserve"> </w:t>
      </w:r>
      <w:r>
        <w:t xml:space="preserve">can approve changes made by junior staff in real-time, eliminating the need for back-and-forth emails and reducing publication time by 40%.</w:t>
      </w:r>
    </w:p>
    <w:bookmarkEnd w:id="24"/>
    <w:bookmarkStart w:id="25" w:name="c.-automated-compliance-checking"/>
    <w:p>
      <w:pPr>
        <w:pStyle w:val="Heading3"/>
      </w:pPr>
      <w:r>
        <w:t xml:space="preserve">C. Automated Compliance Checking</w:t>
      </w:r>
    </w:p>
    <w:p>
      <w:pPr>
        <w:pStyle w:val="FirstParagraph"/>
      </w:pPr>
      <w:r>
        <w:t xml:space="preserve">A dedicated module within the Editor scans content against FCA regulations and GDPR requirements. Before any piece of content is published, the Editor flags potential breaches, such as unapproved financial claims or missing privacy notices. This proactive approach ensures that all output from</w:t>
      </w:r>
      <w:r>
        <w:t xml:space="preserve"> </w:t>
      </w:r>
      <w:r>
        <w:rPr>
          <w:iCs/>
          <w:i/>
          <w:bCs/>
          <w:b/>
        </w:rPr>
        <w:t xml:space="preserve">United Kingdom London</w:t>
      </w:r>
      <w:r>
        <w:t xml:space="preserve"> </w:t>
      </w:r>
      <w:r>
        <w:t xml:space="preserve">operations remains legally sound.</w:t>
      </w:r>
    </w:p>
    <w:bookmarkEnd w:id="25"/>
    <w:bookmarkEnd w:id="26"/>
    <w:bookmarkStart w:id="27" w:name="implementation-strategy"/>
    <w:p>
      <w:pPr>
        <w:pStyle w:val="Heading2"/>
      </w:pPr>
      <w:r>
        <w:t xml:space="preserve">5. Implementation Strategy</w:t>
      </w:r>
    </w:p>
    <w:p>
      <w:pPr>
        <w:pStyle w:val="FirstParagraph"/>
      </w:pPr>
      <w:r>
        <w:t xml:space="preserve">The rollout of the Editor in</w:t>
      </w:r>
      <w:r>
        <w:t xml:space="preserve"> </w:t>
      </w:r>
      <w:r>
        <w:rPr>
          <w:iCs/>
          <w:i/>
          <w:bCs/>
          <w:b/>
        </w:rPr>
        <w:t xml:space="preserve">United Kingdom London</w:t>
      </w:r>
      <w:r>
        <w:t xml:space="preserve"> </w:t>
      </w:r>
      <w:r>
        <w:t xml:space="preserve">was executed in phases to minimize disruption:</w:t>
      </w:r>
    </w:p>
    <w:p>
      <w:pPr>
        <w:pStyle w:val="BodyText"/>
      </w:pPr>
      <w:r>
        <w:t xml:space="preserve">Audit and Configuration:: The initial phase involved auditing existing content workflows to identify specific pain points for the Editor configuration.</w:t>
      </w:r>
    </w:p>
    <w:p>
      <w:pPr>
        <w:pStyle w:val="BodyText"/>
      </w:pPr>
      <w:r>
        <w:t xml:space="preserve">Training and Adoption:: Comprehensive training sessions were held for all editorial staff in the</w:t>
      </w:r>
    </w:p>
    <w:p>
      <w:pPr>
        <w:pStyle w:val="BodyText"/>
      </w:pPr>
      <w:r>
        <w:rPr>
          <w:iCs/>
          <w:i/>
        </w:rPr>
        <w:t xml:space="preserve">United Kingdom London</w:t>
      </w:r>
      <w:r>
        <w:t xml:space="preserve"> </w:t>
      </w:r>
      <w:r>
        <w:t xml:space="preserve">office. Focus was placed on leveraging advanced features rather than basic text correction.</w:t>
      </w:r>
    </w:p>
    <w:p>
      <w:pPr>
        <w:pStyle w:val="BodyText"/>
      </w:pPr>
      <w:r>
        <w:t xml:space="preserve">Pilot Program:: A two-week pilot with the marketing team allowed for fine-tuning of the Editor's sensitivity settings and rule sets.</w:t>
      </w:r>
    </w:p>
    <w:p>
      <w:pPr>
        <w:pStyle w:val="BodyText"/>
      </w:pPr>
      <w:r>
        <w:t xml:space="preserve">Full Deployment:: The Editor was rolled out to all content creators across the organization, integrating seamlessly with their existing CMS.</w:t>
      </w:r>
    </w:p>
    <w:bookmarkEnd w:id="27"/>
    <w:bookmarkStart w:id="28" w:name="results-and-impact"/>
    <w:p>
      <w:pPr>
        <w:pStyle w:val="Heading2"/>
      </w:pPr>
      <w:r>
        <w:t xml:space="preserve">6. Results and Impact</w:t>
      </w:r>
    </w:p>
    <w:p>
      <w:pPr>
        <w:pStyle w:val="FirstParagraph"/>
      </w:pPr>
      <w:r>
        <w:t xml:space="preserve">Six months post-implementation, the data showed remarkable improvements driven by the effective use of the Editor:</w:t>
      </w:r>
    </w:p>
    <w:p>
      <w:pPr>
        <w:pStyle w:val="BodyText"/>
      </w:pPr>
      <w:r>
        <w:t xml:space="preserve">Error Reduction:: Editorial errors dropped by 85%, significantly reducing the time spent on post-publication corrections.</w:t>
      </w:r>
    </w:p>
    <w:p>
      <w:pPr>
        <w:pStyle w:val="BodyText"/>
      </w:pPr>
      <w:r>
        <w:t xml:space="preserve">Speed to Market:: The average time from draft to publication decreased by 30%, allowing the firm in</w:t>
      </w:r>
    </w:p>
    <w:p>
      <w:pPr>
        <w:pStyle w:val="BodyText"/>
      </w:pPr>
      <w:r>
        <w:rPr>
          <w:iCs/>
          <w:i/>
        </w:rPr>
        <w:t xml:space="preserve">United Kingdom London</w:t>
      </w:r>
      <w:r>
        <w:t xml:space="preserve"> </w:t>
      </w:r>
      <w:r>
        <w:t xml:space="preserve">to react faster to market changes.</w:t>
      </w:r>
    </w:p>
    <w:p>
      <w:pPr>
        <w:pStyle w:val="BodyText"/>
      </w:pPr>
      <w:r>
        <w:t xml:space="preserve">Compliance Safety:: Zero major compliance incidents were recorded related to content publishing, a stark contrast to previous years.</w:t>
      </w:r>
    </w:p>
    <w:p>
      <w:pPr>
        <w:pStyle w:val="BodyText"/>
      </w:pPr>
      <w:r>
        <w:t xml:space="preserve">User Satisfaction:: Editorial staff reported higher job satisfaction due the reduced cognitive load and smoother collaborative workflows provided by the Editor interface.</w:t>
      </w:r>
    </w:p>
    <w:bookmarkEnd w:id="28"/>
    <w:bookmarkStart w:id="29" w:name="conclusion"/>
    <w:p>
      <w:pPr>
        <w:pStyle w:val="Heading2"/>
      </w:pPr>
      <w:r>
        <w:t xml:space="preserve">7. Conclusion</w:t>
      </w:r>
    </w:p>
    <w:p>
      <w:pPr>
        <w:pStyle w:val="FirstParagraph"/>
      </w:pPr>
      <w:r>
        <w:t xml:space="preserve">The integration of a specialized</w:t>
      </w:r>
    </w:p>
    <w:p>
      <w:pPr>
        <w:pStyle w:val="BodyText"/>
      </w:pPr>
      <w:r>
        <w:rPr>
          <w:u w:val="single"/>
          <w:iCs/>
          <w:i/>
        </w:rPr>
        <w:t xml:space="preserve">Edito</w:t>
      </w:r>
      <w:r>
        <w:t xml:space="preserve">r into the operations of a leading firm in</w:t>
      </w:r>
    </w:p>
    <w:p>
      <w:pPr>
        <w:pStyle w:val="BodyText"/>
      </w:pPr>
      <w:r>
        <w:rPr>
          <w:iCs/>
          <w:i/>
        </w:rPr>
        <w:t xml:space="preserve">United Kingdom London</w:t>
      </w:r>
      <w:r>
        <w:t xml:space="preserve">, demonstrates the critical value of tailored technological solutions in modern content management. By addressing specific regional and industry challenges, the Editor did not just correct text; it transformed the editorial process into a strategic asset. For organizations operating in high-stakes environments like</w:t>
      </w:r>
    </w:p>
    <w:p>
      <w:pPr>
        <w:pStyle w:val="BodyText"/>
      </w:pPr>
      <w:r>
        <w:rPr>
          <w:iCs/>
          <w:i/>
        </w:rPr>
        <w:t xml:space="preserve">United Kingdom London</w:t>
      </w:r>
      <w:r>
        <w:t xml:space="preserve">, investing in robust editing infrastructure is not optional—it is essential for maintaining credibility, compliance, and competitive advantage.</w:t>
      </w:r>
    </w:p>
    <w:p>
      <w:pPr>
        <w:pStyle w:val="BodyText"/>
      </w:pPr>
      <w:r>
        <w:t xml:space="preserve">This case study serves as a testament to the power of precision. When an Editor is aligned with the specific demands of</w:t>
      </w:r>
    </w:p>
    <w:p>
      <w:pPr>
        <w:pStyle w:val="BodyText"/>
      </w:pPr>
      <w:r>
        <w:rPr>
          <w:iCs/>
          <w:i/>
        </w:rPr>
        <w:t xml:space="preserve">United Kingdom London</w:t>
      </w:r>
      <w:r>
        <w:t xml:space="preserve">, it becomes more than a tool; it becomes a guardian of quality and integrity in digital communication.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United Kingdom London</dc:title>
  <dc:creator/>
  <dc:language>en</dc:language>
  <cp:keywords/>
  <dcterms:created xsi:type="dcterms:W3CDTF">2026-07-29T10:11:05Z</dcterms:created>
  <dcterms:modified xsi:type="dcterms:W3CDTF">2026-07-29T10:11:05Z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