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p>
    <w:bookmarkStart w:id="32" w:name="Xc040e37d6da135231ef0153359fb3c618ef29d4"/>
    <w:p>
      <w:pPr>
        <w:pStyle w:val="Heading1"/>
      </w:pPr>
      <w:r>
        <w:t xml:space="preserve">A Case Study in Excellence: The Role of the Education Administrator in Australia Brisbane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Queensland, Australia (Brisbane CBD and Surrounding Regions)</w:t>
      </w:r>
      <w:r>
        <w:br/>
      </w:r>
      <w:r>
        <w:rPr>
          <w:bCs/>
          <w:b/>
        </w:rPr>
        <w:t xml:space="preserve">Subject Profile:</w:t>
      </w:r>
      <w:r>
        <w:t xml:space="preserve"> </w:t>
      </w:r>
      <w:r>
        <w:t xml:space="preserve">Senior Education Administrator</w:t>
      </w:r>
    </w:p>
    <w:bookmarkStart w:id="20" w:name="executive-summary"/>
    <w:p>
      <w:pPr>
        <w:pStyle w:val="Heading2"/>
      </w:pPr>
      <w:r>
        <w:t xml:space="preserve">1. Executive Summary</w:t>
      </w:r>
    </w:p>
    <w:p>
      <w:pPr>
        <w:pStyle w:val="FirstParagraph"/>
      </w:pPr>
      <w:r>
        <w:t xml:space="preserve">This comprehensive case study examines the evolving responsibilities, challenges, and strategic impacts of an Education Administrator operating within the dynamic educational landscape of Australia Brisbane. As the capital city of Queensland undergoes rapid demographic shifts and technological integration, the role of administrative leadership has transcended traditional management duties to become a pivotal force in pedagogical success and community engagement.</w:t>
      </w:r>
    </w:p>
    <w:p>
      <w:pPr>
        <w:pStyle w:val="BodyText"/>
      </w:pPr>
      <w:r>
        <w:t xml:space="preserve">The primary objective of this document is to analyze how an Education Administrator navigates regulatory frameworks, leverages technology, manages diverse stakeholder relationships, and fosters inclusive learning environments within the specific cultural and economic context of Brisbane. By focusing on a hypothetical yet representative public secondary school in the inner-city suburb of Fortitude Valley, this case study provides actionable insights into effective administrative practice.</w:t>
      </w:r>
    </w:p>
    <w:bookmarkEnd w:id="20"/>
    <w:bookmarkStart w:id="21" w:name="X4408e360a3885bee3f0d059d9d2458fb1aa90c3"/>
    <w:p>
      <w:pPr>
        <w:pStyle w:val="Heading2"/>
      </w:pPr>
      <w:r>
        <w:t xml:space="preserve">2. Contextual Background: The Brisbane Educational Landscape</w:t>
      </w:r>
    </w:p>
    <w:p>
      <w:pPr>
        <w:pStyle w:val="FirstParagraph"/>
      </w:pPr>
      <w:r>
        <w:t xml:space="preserve">Brisbane is characterized by a unique blend of rapid urban development and a strong emphasis on outdoor, health-conscious living. The educational sector in this region faces distinct pressures:</w:t>
      </w:r>
    </w:p>
    <w:p>
      <w:pPr>
        <w:numPr>
          <w:ilvl w:val="0"/>
          <w:numId w:val="1001"/>
        </w:numPr>
        <w:pStyle w:val="Compact"/>
      </w:pPr>
      <w:r>
        <w:rPr>
          <w:bCs/>
          <w:b/>
        </w:rPr>
        <w:t xml:space="preserve">Demographic Diversity:</w:t>
      </w:r>
      <w:r>
        <w:t xml:space="preserve"> </w:t>
      </w:r>
      <w:r>
        <w:t xml:space="preserve">Brisbane has seen an influx of international students and families from diverse cultural backgrounds, requiring nuanced communication strategies.</w:t>
      </w:r>
    </w:p>
    <w:p>
      <w:pPr>
        <w:numPr>
          <w:ilvl w:val="0"/>
          <w:numId w:val="1001"/>
        </w:numPr>
        <w:pStyle w:val="Compact"/>
      </w:pPr>
      <w:r>
        <w:rPr>
          <w:bCs/>
          <w:b/>
        </w:rPr>
        <w:t xml:space="preserve">Socio-Economic Disparity:</w:t>
      </w:r>
      <w:r>
        <w:t xml:space="preserve"> </w:t>
      </w:r>
      <w:r>
        <w:t xml:space="preserve">While the CBD boasts affluent demographics, surrounding suburbs face significant socio-economic challenges. Administrators must balance resource allocation to support equity.</w:t>
      </w:r>
    </w:p>
    <w:p>
      <w:pPr>
        <w:numPr>
          <w:ilvl w:val="0"/>
          <w:numId w:val="1001"/>
        </w:numPr>
        <w:pStyle w:val="Compact"/>
      </w:pPr>
      <w:r>
        <w:rPr>
          <w:bCs/>
          <w:b/>
        </w:rPr>
        <w:t xml:space="preserve">Climatic Considerations:</w:t>
      </w:r>
      <w:r>
        <w:t xml:space="preserve"> </w:t>
      </w:r>
      <w:r>
        <w:t xml:space="preserve">The subtropical climate necessitates specific infrastructure planning, affecting school zoning, transport logistics, and extracurricular scheduling.</w:t>
      </w:r>
    </w:p>
    <w:p>
      <w:pPr>
        <w:pStyle w:val="FirstParagraph"/>
      </w:pPr>
      <w:r>
        <w:t xml:space="preserve">In this environment, the Education Administrator serves as the critical link between government policy (delivered via the Department of Education Queensland) and on-the-ground implementation.</w:t>
      </w:r>
    </w:p>
    <w:bookmarkEnd w:id="21"/>
    <w:bookmarkStart w:id="22" w:name="Xdf2708230315651cc655e3cb369c8d742b29400"/>
    <w:p>
      <w:pPr>
        <w:pStyle w:val="Heading2"/>
      </w:pPr>
      <w:r>
        <w:t xml:space="preserve">3. Profile: The Modern Education Administrator</w:t>
      </w:r>
    </w:p>
    <w:p>
      <w:pPr>
        <w:pStyle w:val="FirstParagraph"/>
      </w:pPr>
      <w:r>
        <w:t xml:space="preserve">The subject of this case study is assumed to hold a Master’s degree in Educational Leadership or Public Administration, with over ten years of experience in Australian schools. Their role encompasses:</w:t>
      </w:r>
    </w:p>
    <w:p>
      <w:pPr>
        <w:numPr>
          <w:ilvl w:val="0"/>
          <w:numId w:val="1002"/>
        </w:numPr>
        <w:pStyle w:val="Compact"/>
      </w:pPr>
      <w:r>
        <w:rPr>
          <w:bCs/>
          <w:b/>
        </w:rPr>
        <w:t xml:space="preserve">Operational Management:</w:t>
      </w:r>
      <w:r>
        <w:t xml:space="preserve"> </w:t>
      </w:r>
      <w:r>
        <w:t xml:space="preserve">Overseeing budgets, staffing, and facility maintenance.</w:t>
      </w:r>
    </w:p>
    <w:p>
      <w:pPr>
        <w:numPr>
          <w:ilvl w:val="0"/>
          <w:numId w:val="1002"/>
        </w:numPr>
        <w:pStyle w:val="Compact"/>
      </w:pPr>
      <w:r>
        <w:rPr>
          <w:bCs/>
          <w:b/>
        </w:rPr>
        <w:t xml:space="preserve">Pedagogical Support:</w:t>
      </w:r>
      <w:r>
        <w:t xml:space="preserve"> </w:t>
      </w:r>
      <w:r>
        <w:t xml:space="preserve">Collaborating with principals to implement the Australian Curriculum and Queensland Certificate of Education (QCE) standards.</w:t>
      </w:r>
    </w:p>
    <w:p>
      <w:pPr>
        <w:numPr>
          <w:ilvl w:val="0"/>
          <w:numId w:val="1002"/>
        </w:numPr>
        <w:pStyle w:val="Compact"/>
      </w:pPr>
      <w:r>
        <w:rPr>
          <w:bCs/>
          <w:b/>
        </w:rPr>
        <w:t xml:space="preserve">Crisis Management:</w:t>
      </w:r>
    </w:p>
    <w:p>
      <w:pPr>
        <w:numPr>
          <w:ilvl w:val="0"/>
          <w:numId w:val="1002"/>
        </w:numPr>
        <w:pStyle w:val="Compact"/>
      </w:pPr>
      <w:r>
        <w:rPr>
          <w:bCs/>
          <w:b/>
        </w:rPr>
        <w:t xml:space="preserve">Community Liaison:</w:t>
      </w:r>
      <w:r>
        <w:t xml:space="preserve"> </w:t>
      </w:r>
      <w:r>
        <w:t xml:space="preserve">Acting as the face of the institution to parents, local councils, and Indigenous communities.</w:t>
      </w:r>
    </w:p>
    <w:bookmarkEnd w:id="22"/>
    <w:bookmarkStart w:id="25" w:name="Xb16b91aa87179cf1e13bbeba98ff6c1bd369dfa"/>
    <w:p>
      <w:pPr>
        <w:pStyle w:val="Heading2"/>
      </w:pPr>
      <w:r>
        <w:t xml:space="preserve">4. Key Challenge: Integrating Technology Without Losing Human Connection</w:t>
      </w:r>
    </w:p>
    <w:p>
      <w:pPr>
        <w:pStyle w:val="FirstParagraph"/>
      </w:pPr>
      <w:r>
        <w:t xml:space="preserve">In 2021, following the post-pandemic recovery phase, Brisbane schools faced a critical juncture. The Education Administrator at our case study institution was tasked with integrating new Learning Management Systems (LMS) while ensuring that digital divides did not exacerbate existing inequalities.</w:t>
      </w:r>
    </w:p>
    <w:bookmarkStart w:id="23" w:name="the-problem"/>
    <w:p>
      <w:pPr>
        <w:pStyle w:val="Heading3"/>
      </w:pPr>
      <w:r>
        <w:t xml:space="preserve">The Problem</w:t>
      </w:r>
    </w:p>
    <w:p>
      <w:pPr>
        <w:pStyle w:val="FirstParagraph"/>
      </w:pPr>
      <w:r>
        <w:t xml:space="preserve">Data indicated that 15% of students in the catchment area lacked reliable home internet access. The previous administrative approach had been purely technical, focusing on hardware distribution without addressing usage competency or psychological barriers to digital learning.</w:t>
      </w:r>
    </w:p>
    <w:bookmarkEnd w:id="23"/>
    <w:bookmarkStart w:id="24" w:name="the-administrative-intervention"/>
    <w:p>
      <w:pPr>
        <w:pStyle w:val="Heading3"/>
      </w:pPr>
      <w:r>
        <w:t xml:space="preserve">The Administrative Intervention</w:t>
      </w:r>
    </w:p>
    <w:p>
      <w:pPr>
        <w:pStyle w:val="FirstParagraph"/>
      </w:pPr>
      <w:r>
        <w:t xml:space="preserve">The Education Administrator initiated a three-phase strategy:</w:t>
      </w:r>
    </w:p>
    <w:p>
      <w:pPr>
        <w:pStyle w:val="BlockText"/>
      </w:pPr>
      <w:r>
        <w:t xml:space="preserve">"Administration is not just about keeping the lights on; it is about illuminating pathways for every student, regardless of their technological starting point. We had to shift from a transactional mindset to a transformational one."</w:t>
      </w:r>
    </w:p>
    <w:bookmarkEnd w:id="24"/>
    <w:bookmarkEnd w:id="25"/>
    <w:bookmarkStart w:id="26" w:name="strategic-implementation"/>
    <w:p>
      <w:pPr>
        <w:pStyle w:val="Heading2"/>
      </w:pPr>
      <w:r>
        <w:t xml:space="preserve">5. Strategic Implementation</w:t>
      </w:r>
    </w:p>
    <w:p>
      <w:pPr>
        <w:pStyle w:val="FirstParagraph"/>
      </w:pPr>
      <w:r>
        <w:rPr>
          <w:bCs/>
          <w:b/>
        </w:rPr>
        <w:t xml:space="preserve">Phase 1: Comprehensive Needs Assessment</w:t>
      </w:r>
      <w:r>
        <w:br/>
      </w:r>
      <w:r>
        <w:t xml:space="preserve">Instead of issuing devices blindly, the administrator conducted door-to-door surveys in partnership with local community leaders. This data revealed that connectivity was not just about hardware but also about space—many students lacked quiet areas to study. The administration secured funding for "study pods" in the school library and partnered with Brisbane City Council to create safe study zones in public libraries across the suburb.</w:t>
      </w:r>
    </w:p>
    <w:p>
      <w:pPr>
        <w:pStyle w:val="BodyText"/>
      </w:pPr>
      <w:r>
        <w:rPr>
          <w:bCs/>
          <w:b/>
        </w:rPr>
        <w:t xml:space="preserve">Phase 2: Staff Training and Cultural Shift</w:t>
      </w:r>
      <w:r>
        <w:br/>
      </w:r>
      <w:r>
        <w:t xml:space="preserve">Recognizing that teachers were overwhelmed, the Education Administrator restructured professional development schedules. They introduced peer-mentoring programs where tech-savvy staff supported colleagues less confident with digital tools. This reduced resistance to change and fostered a collaborative culture.</w:t>
      </w:r>
    </w:p>
    <w:p>
      <w:pPr>
        <w:pStyle w:val="BodyText"/>
      </w:pPr>
      <w:r>
        <w:rPr>
          <w:bCs/>
          <w:b/>
        </w:rPr>
        <w:t xml:space="preserve">Phase 3: Community Engagement Workshops</w:t>
      </w:r>
      <w:r>
        <w:br/>
      </w:r>
      <w:r>
        <w:t xml:space="preserve">Evening workshops were held for parents, particularly from non-English speaking backgrounds, to demonstrate how the new systems worked. These sessions provided childcare and translated materials, ensuring inclusivity. This step was crucial in building trust between the school and families who previously felt alienated by bureaucratic processes.</w:t>
      </w:r>
    </w:p>
    <w:bookmarkEnd w:id="26"/>
    <w:bookmarkStart w:id="27" w:name="outcomes-and-metrics"/>
    <w:p>
      <w:pPr>
        <w:pStyle w:val="Heading2"/>
      </w:pPr>
      <w:r>
        <w:t xml:space="preserve">6. Outcomes and Metrics</w:t>
      </w:r>
    </w:p>
    <w:p>
      <w:pPr>
        <w:pStyle w:val="FirstParagraph"/>
      </w:pPr>
      <w:r>
        <w:t xml:space="preserve">The results of these administrative interventions were measurable within two academic terms:</w:t>
      </w:r>
    </w:p>
    <w:p>
      <w:pPr>
        <w:pStyle w:val="BodyText"/>
      </w:pPr>
      <w:r>
        <w:t xml:space="preserve">Metric</w:t>
      </w:r>
    </w:p>
    <w:p>
      <w:pPr>
        <w:pStyle w:val="BodyText"/>
      </w:pPr>
      <w:r>
        <w:t xml:space="preserve">Pre-Implementation (Baseline)</w:t>
      </w:r>
    </w:p>
    <w:p>
      <w:pPr>
        <w:pStyle w:val="BodyText"/>
      </w:pPr>
      <w:r>
        <w:t xml:space="preserve">Post-Implementation (6 Months)</w:t>
      </w:r>
    </w:p>
    <w:p>
      <w:pPr>
        <w:pStyle w:val="BodyText"/>
      </w:pPr>
      <w:r>
        <w:t xml:space="preserve">Digital Submission Rate</w:t>
      </w:r>
    </w:p>
    <w:p>
      <w:pPr>
        <w:pStyle w:val="BodyText"/>
      </w:pPr>
      <w:r>
        <w:rPr>
          <w:bCs/>
          <w:b/>
        </w:rPr>
        <w:t xml:space="preserve">Celebration of Achievement (CoCA) Rates for Digital Literacy</w:t>
      </w:r>
    </w:p>
    <w:p>
      <w:pPr>
        <w:pStyle w:val="BodyText"/>
      </w:pPr>
      <w:r>
        <w:t xml:space="preserve">40%&lt; / td&gt;&lt; td &gt;78%/t d&gt;/ t r</w:t>
      </w:r>
    </w:p>
    <w:p>
      <w:pPr>
        <w:pStyle w:val="BodyText"/>
      </w:pPr>
      <w:r>
        <w:t xml:space="preserve">Parent Satisfaction Score</w:t>
      </w:r>
    </w:p>
    <w:p>
      <w:pPr>
        <w:pStyle w:val="BodyText"/>
      </w:pPr>
      <w:r>
        <w:t xml:space="preserve">3.5/5</w:t>
      </w:r>
    </w:p>
    <w:p>
      <w:pPr>
        <w:pStyle w:val="BodyText"/>
      </w:pPr>
      <w:r>
        <w:t xml:space="preserve">&gt;</w:t>
      </w:r>
    </w:p>
    <w:p>
      <w:pPr>
        <w:pStyle w:val="BodyText"/>
      </w:pPr>
      <w:r>
        <w:t xml:space="preserve">&lt; th &gt;Student Wellbeing Index</w:t>
      </w:r>
    </w:p>
    <w:p>
      <w:pPr>
        <w:pStyle w:val="BodyText"/>
      </w:pPr>
      <w:r>
        <w:t xml:space="preserve">Neutral</w:t>
      </w:r>
    </w:p>
    <w:p>
      <w:pPr>
        <w:pStyle w:val="BodyText"/>
      </w:pPr>
      <w:r>
        <w:t xml:space="preserve">Positive Shift&lt; / td&gt;/ t r/&lt; table &gt;&lt; br /&gt;</w:t>
      </w:r>
    </w:p>
    <w:p>
      <w:pPr>
        <w:pStyle w:val="BodyText"/>
      </w:pPr>
      <w:r>
        <w:t xml:space="preserve">The Education Administrator’s focus on holistic support rather than mere technical compliance resulted in a significant reduction in student disengagement. Furthermore, the trust established with parents led to higher attendance rates and greater participation in school events.</w:t>
      </w:r>
    </w:p>
    <w:bookmarkEnd w:id="27"/>
    <w:bookmarkStart w:id="28" w:name="X9a0ce8263ed56d03218361983826a28b76c0228"/>
    <w:p>
      <w:pPr>
        <w:pStyle w:val="Heading2"/>
      </w:pPr>
      <w:r>
        <w:t xml:space="preserve">7. Navigating Regulatory and Ethical Frameworks</w:t>
      </w:r>
    </w:p>
    <w:p>
      <w:pPr>
        <w:pStyle w:val="FirstParagraph"/>
      </w:pPr>
      <w:r>
        <w:t xml:space="preserve">In Australia Brisbane, administrators must strictly adhere to the</w:t>
      </w:r>
      <w:r>
        <w:t xml:space="preserve"> </w:t>
      </w:r>
      <w:r>
        <w:rPr>
          <w:iCs/>
          <w:i/>
        </w:rPr>
        <w:t xml:space="preserve">Education (General Provisions) Act 2006 (Qld)</w:t>
      </w:r>
      <w:r>
        <w:t xml:space="preserve">. A critical aspect of this case study was ensuring data privacy under the Australian Privacy Principles while sharing student performance data with external agencies. The administrator implemented rigorous cybersecurity protocols and trained staff on ethical data handling, mitigating potential legal risks.</w:t>
      </w:r>
    </w:p>
    <w:p>
      <w:pPr>
        <w:pStyle w:val="BodyText"/>
      </w:pPr>
      <w:r>
        <w:t xml:space="preserve">Additionally, the administrator prioritized reconciliation with Indigenous Australians. By consulting with local Aboriginal and Torres Strait Islander elders, they integrated cultural perspectives into school policies and resource procurement, aligning with Queensland’s broader goals for educational equity.</w:t>
      </w:r>
    </w:p>
    <w:bookmarkEnd w:id="28"/>
    <w:bookmarkStart w:id="29" w:name="X4eaa69026795d3f8f9ea0a9b0a1105bba25381d"/>
    <w:p>
      <w:pPr>
        <w:pStyle w:val="Heading2"/>
      </w:pPr>
      <w:r>
        <w:t xml:space="preserve">8. Discussion: Lessons for Other Institutions</w:t>
      </w:r>
    </w:p>
    <w:p>
      <w:pPr>
        <w:pStyle w:val="FirstParagraph"/>
      </w:pPr>
      <w:r>
        <w:t xml:space="preserve">This case study highlights that the role of an Education Administrator in Australia Brisbane is inherently political and social, not just managerial. Success depends on:</w:t>
      </w:r>
    </w:p>
    <w:p>
      <w:pPr>
        <w:pStyle w:val="BodyText"/>
      </w:pPr>
      <w:r>
        <w:rPr>
          <w:bCs/>
          <w:b/>
        </w:rPr>
        <w:t xml:space="preserve">Data-Driven Empathy:</w:t>
      </w:r>
      <w:r>
        <w:t xml:space="preserve"> </w:t>
      </w:r>
      <w:r>
        <w:t xml:space="preserve">Using data to understand human needs.&lt; / li&gt;</w:t>
      </w:r>
    </w:p>
    <w:p>
      <w:pPr>
        <w:pStyle w:val="BodyText"/>
      </w:pPr>
      <w:r>
        <w:rPr>
          <w:bCs/>
          <w:b/>
        </w:rPr>
        <w:t xml:space="preserve">Proactive Communication:</w:t>
      </w:r>
      <w:r>
        <w:t xml:space="preserve"> </w:t>
      </w:r>
      <w:r>
        <w:t xml:space="preserve">Anticipating stakeholder concerns rather than reacting to them.&lt; / li&gt;</w:t>
      </w:r>
    </w:p>
    <w:p>
      <w:pPr>
        <w:pStyle w:val="BodyText"/>
      </w:pPr>
      <w:r>
        <w:t xml:space="preserve">&lt; strong &gt;Contextual Adaptability : Tailoring national policies to local Brisbane realities , such as climate and culture .&lt; / ol &gt;</w:t>
      </w:r>
    </w:p>
    <w:bookmarkEnd w:id="29"/>
    <w:bookmarkStart w:id="30" w:name="conclusion"/>
    <w:p>
      <w:pPr>
        <w:pStyle w:val="Heading2"/>
      </w:pPr>
      <w:r>
        <w:t xml:space="preserve">9. Conclusion</w:t>
      </w:r>
    </w:p>
    <w:p>
      <w:pPr>
        <w:pStyle w:val="FirstParagraph"/>
      </w:pPr>
      <w:r>
        <w:t xml:space="preserve">The Education Administrator is the backbone of institutional stability and progress. In the vibrant city of Australia Brisbane, where educational standards are high but challenges are multifaceted, effective administration requires a balance of strategic foresight and compassionate execution. This case study demonstrates that when administrators prioritize community integration, equitable resource distribution, and cultural responsiveness, they unlock significant potential for both staff and students.</w:t>
      </w:r>
    </w:p>
    <w:p>
      <w:pPr>
        <w:pStyle w:val="BodyText"/>
      </w:pPr>
      <w:r>
        <w:t xml:space="preserve">For other institutions in Queensland and beyond, the lessons from this Brisbane-based example serve as a blueprint: administration is not a back-office function but a central driver of educational excellence. By embracing the complexities of the local environment and leveraging technology as a tool for inclusion rather than exclusion, Education Administrators can shape resilient, future-ready schools.</w:t>
      </w:r>
    </w:p>
    <w:bookmarkEnd w:id="30"/>
    <w:bookmarkStart w:id="31" w:name="recommendations"/>
    <w:p>
      <w:pPr>
        <w:pStyle w:val="Heading2"/>
      </w:pPr>
      <w:r>
        <w:t xml:space="preserve">10. Recommendations</w:t>
      </w:r>
    </w:p>
    <w:p>
      <w:pPr>
        <w:pStyle w:val="FirstParagraph"/>
      </w:pPr>
      <w:r>
        <w:rPr>
          <w:bCs/>
          <w:b/>
        </w:rPr>
        <w:t xml:space="preserve">Invest in Continuous Professional Development:</w:t>
      </w:r>
      <w:r>
        <w:t xml:space="preserve"> </w:t>
      </w:r>
      <w:r>
        <w:t xml:space="preserve">Regular training for administrators on emerging laws and technologies relevant to the Australian context.</w:t>
      </w:r>
    </w:p>
    <w:p>
      <w:pPr>
        <w:pStyle w:val="BodyText"/>
      </w:pPr>
      <w:r>
        <w:t xml:space="preserve">&gt;</w:t>
      </w:r>
    </w:p>
    <w:p>
      <w:pPr>
        <w:pStyle w:val="BodyText"/>
      </w:pPr>
      <w:r>
        <w:rPr>
          <w:bCs/>
          <w:b/>
        </w:rPr>
        <w:t xml:space="preserve">Foster Cross-Sector Partnerships:</w:t>
      </w:r>
      <w:r>
        <w:t xml:space="preserve"> </w:t>
      </w:r>
      <w:r>
        <w:t xml:space="preserve">Collaborate with local businesses and councils in Brisbane to share resources and expertise.&lt; / li&gt;</w:t>
      </w:r>
    </w:p>
    <w:p>
      <w:pPr>
        <w:pStyle w:val="BodyText"/>
      </w:pPr>
      <w:r>
        <w:t xml:space="preserve">&lt; strong &gt;Prioritize Mental Health : Integrate wellbeing metrics into administrative KPIs , recognizing that student success is closely tied to mental health .&lt; / li&gt;/ ul&gt;</w:t>
      </w:r>
    </w:p>
    <w:p>
      <w:pPr>
        <w:pStyle w:val="BodyText"/>
      </w:pPr>
      <w:r>
        <w:rPr>
          <w:iCs/>
          <w:i/>
        </w:rPr>
        <w:t xml:space="preserve">End of Case Study Document.</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Education Administration</dc:title>
  <dc:creator/>
  <dc:language>en</dc:language>
  <cp:keywords/>
  <dcterms:created xsi:type="dcterms:W3CDTF">2026-07-29T06:45:20Z</dcterms:created>
  <dcterms:modified xsi:type="dcterms:W3CDTF">2026-07-29T06:45:20Z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