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Leadership</w:t>
      </w:r>
      <w:r>
        <w:t xml:space="preserve"> </w:t>
      </w:r>
      <w:r>
        <w:t xml:space="preserve">in</w:t>
      </w:r>
      <w:r>
        <w:t xml:space="preserve"> </w:t>
      </w:r>
      <w:r>
        <w:t xml:space="preserve">Education</w:t>
      </w:r>
      <w:r>
        <w:t xml:space="preserve"> </w:t>
      </w:r>
      <w:r>
        <w:t xml:space="preserve">Administration</w:t>
      </w:r>
      <w:r>
        <w:t xml:space="preserve"> </w:t>
      </w:r>
      <w:r>
        <w:t xml:space="preserve">within</w:t>
      </w:r>
      <w:r>
        <w:t xml:space="preserve"> </w:t>
      </w:r>
      <w:r>
        <w:t xml:space="preserve">Australia,</w:t>
      </w:r>
      <w:r>
        <w:t xml:space="preserve"> </w:t>
      </w:r>
      <w:r>
        <w:t xml:space="preserve">Sydney</w:t>
      </w:r>
    </w:p>
    <w:bookmarkStart w:id="31" w:name="Xfe427bfff30559c63637893ba70287cbf1814a4"/>
    <w:p>
      <w:pPr>
        <w:pStyle w:val="Heading1"/>
      </w:pPr>
      <w:r>
        <w:t xml:space="preserve">Digital Transformation and Strategic Equity in NSW Public Schools: A Case Study of an Education Administrator</w:t>
      </w:r>
    </w:p>
    <w:p>
      <w:pPr>
        <w:pStyle w:val="FirstParagraph"/>
      </w:pPr>
      <w:r>
        <w:rPr>
          <w:bCs/>
          <w:b/>
        </w:rPr>
        <w:t xml:space="preserve">Date:</w:t>
      </w:r>
      <w:r>
        <w:t xml:space="preserve"> </w:t>
      </w:r>
      <w:r>
        <w:t xml:space="preserve">May 24, 2024</w:t>
      </w:r>
      <w:r>
        <w:br/>
      </w:r>
      <w:r>
        <w:rPr>
          <w:bCs/>
          <w:b/>
        </w:rPr>
        <w:t xml:space="preserve">Location:</w:t>
      </w:r>
      <w:r>
        <w:t xml:space="preserve"> </w:t>
      </w:r>
      <w:r>
        <w:t xml:space="preserve">Sydney, Australia</w:t>
      </w:r>
      <w:r>
        <w:br/>
      </w:r>
      <w:r>
        <w:rPr>
          <w:bCs/>
          <w:b/>
        </w:rPr>
        <w:t xml:space="preserve">Subject:</w:t>
      </w:r>
      <w:r>
        <w:t xml:space="preserve"> </w:t>
      </w:r>
      <w:r>
        <w:t xml:space="preserve">Education Administrator Performance Review and Strategic Initiative Analysis</w:t>
      </w:r>
    </w:p>
    <w:bookmarkStart w:id="20" w:name="introduction-and-executive-summary"/>
    <w:p>
      <w:pPr>
        <w:pStyle w:val="Heading2"/>
      </w:pPr>
      <w:r>
        <w:t xml:space="preserve">1. Introduction and Executive Summary</w:t>
      </w:r>
    </w:p>
    <w:p>
      <w:pPr>
        <w:pStyle w:val="FirstParagraph"/>
      </w:pPr>
      <w:r>
        <w:t xml:space="preserve">The landscape of educational administration in</w:t>
      </w:r>
      <w:r>
        <w:t xml:space="preserve"> </w:t>
      </w:r>
      <w:r>
        <w:rPr>
          <w:bCs/>
          <w:b/>
        </w:rPr>
        <w:t xml:space="preserve">Australia, Sydney</w:t>
      </w:r>
      <w:r>
        <w:t xml:space="preserve">, has undergone profound shifts over the last decade. Driven by rapid technological advancements, increasing socioeconomic diversity, and evolving pedagogical frameworks mandated by the New South Wales (NSW) Department of Education, the role of an</w:t>
      </w:r>
      <w:r>
        <w:t xml:space="preserve"> </w:t>
      </w:r>
      <w:r>
        <w:rPr>
          <w:bCs/>
          <w:b/>
        </w:rPr>
        <w:t xml:space="preserve">Education Administrator</w:t>
      </w:r>
      <w:r>
        <w:t xml:space="preserve"> </w:t>
      </w:r>
      <w:r>
        <w:t xml:space="preserve">has transcended traditional management duties to become a pivotal strategic leadership position. This case study examines a high-performing school within the metropolitan Sydney region that successfully navigated significant operational and cultural challenges under new administrative guidance.</w:t>
      </w:r>
    </w:p>
    <w:p>
      <w:pPr>
        <w:pStyle w:val="BodyText"/>
      </w:pPr>
      <w:r>
        <w:t xml:space="preserve">The primary objective of this document is to analyze how effective</w:t>
      </w:r>
      <w:r>
        <w:t xml:space="preserve"> </w:t>
      </w:r>
      <w:r>
        <w:rPr>
          <w:bCs/>
          <w:b/>
        </w:rPr>
        <w:t xml:space="preserve">Educational Administration</w:t>
      </w:r>
      <w:r>
        <w:t xml:space="preserve"> </w:t>
      </w:r>
      <w:r>
        <w:t xml:space="preserve">serves as the backbone of institutional success in one of</w:t>
      </w:r>
      <w:r>
        <w:t xml:space="preserve"> </w:t>
      </w:r>
      <w:r>
        <w:rPr>
          <w:bCs/>
          <w:b/>
        </w:rPr>
        <w:t xml:space="preserve">Australia, Sydney’s</w:t>
      </w:r>
      <w:r>
        <w:t xml:space="preserve"> </w:t>
      </w:r>
      <w:r>
        <w:t xml:space="preserve">most competitive educational environments. By focusing on specific interventions regarding digital infrastructure, inclusive policy implementation, and staff retention strategies, this study highlights the tangible impact of administrative competence on student outcomes and community engagement.</w:t>
      </w:r>
    </w:p>
    <w:bookmarkEnd w:id="20"/>
    <w:bookmarkStart w:id="21" w:name="Xdf910e4b68e90e35ab23d027668d145183b1c41"/>
    <w:p>
      <w:pPr>
        <w:pStyle w:val="Heading2"/>
      </w:pPr>
      <w:r>
        <w:t xml:space="preserve">2. Institutional Context: The Sydney Educational Landscape</w:t>
      </w:r>
    </w:p>
    <w:p>
      <w:pPr>
        <w:pStyle w:val="FirstParagraph"/>
      </w:pPr>
      <w:r>
        <w:t xml:space="preserve">Sydney presents a unique ecosystem for educational institutions. As the economic capital of</w:t>
      </w:r>
      <w:r>
        <w:t xml:space="preserve"> </w:t>
      </w:r>
      <w:r>
        <w:rPr>
          <w:bCs/>
          <w:b/>
        </w:rPr>
        <w:t xml:space="preserve">Australia, Sydney</w:t>
      </w:r>
      <w:r>
        <w:t xml:space="preserve">, it hosts schools ranging from high-performing private institutions to state-funded comprehensive schools in diverse socio-economic zones. The local context is characterized by:</w:t>
      </w:r>
    </w:p>
    <w:p>
      <w:pPr>
        <w:numPr>
          <w:ilvl w:val="0"/>
          <w:numId w:val="1001"/>
        </w:numPr>
        <w:pStyle w:val="Compact"/>
      </w:pPr>
      <w:r>
        <w:rPr>
          <w:bCs/>
          <w:b/>
        </w:rPr>
        <w:t xml:space="preserve">Demographic Diversity:</w:t>
      </w:r>
      <w:r>
        <w:t xml:space="preserve"> </w:t>
      </w:r>
      <w:r>
        <w:t xml:space="preserve">A significant population of students from non-English speaking backgrounds (NESB) and Indigenous communities.</w:t>
      </w:r>
    </w:p>
    <w:p>
      <w:pPr>
        <w:numPr>
          <w:ilvl w:val="0"/>
          <w:numId w:val="1001"/>
        </w:numPr>
        <w:pStyle w:val="Compact"/>
      </w:pPr>
      <w:r>
        <w:rPr>
          <w:bCs/>
          <w:b/>
        </w:rPr>
        <w:t xml:space="preserve">Socioeconomic Variance:</w:t>
      </w:r>
    </w:p>
    <w:p>
      <w:pPr>
        <w:numPr>
          <w:ilvl w:val="0"/>
          <w:numId w:val="1001"/>
        </w:numPr>
        <w:pStyle w:val="Compact"/>
      </w:pPr>
      <w:r>
        <w:rPr>
          <w:bCs/>
          <w:b/>
        </w:rPr>
        <w:t xml:space="preserve">Regulatory Pressure:</w:t>
      </w:r>
      <w:r>
        <w:t xml:space="preserve"> </w:t>
      </w:r>
      <w:r>
        <w:t xml:space="preserve">Strict compliance requirements set by the NSW Education Standards Authority (NESA) and rigorous accountability measures regarding literacy, numeracy, and wellbeing metrics.</w:t>
      </w:r>
    </w:p>
    <w:p>
      <w:pPr>
        <w:pStyle w:val="FirstParagraph"/>
      </w:pPr>
      <w:r>
        <w:t xml:space="preserve">In this high-stakes environment, an</w:t>
      </w:r>
      <w:r>
        <w:t xml:space="preserve"> </w:t>
      </w:r>
      <w:r>
        <w:rPr>
          <w:bCs/>
          <w:b/>
        </w:rPr>
        <w:t xml:space="preserve">Educator Administrator</w:t>
      </w:r>
      <w:r>
        <w:t xml:space="preserve"> </w:t>
      </w:r>
      <w:r>
        <w:t xml:space="preserve">must not only ensure regulatory compliance but also foster a culture of innovation and inclusivity that resonates with the specific needs of the</w:t>
      </w:r>
      <w:r>
        <w:t xml:space="preserve"> </w:t>
      </w:r>
      <w:r>
        <w:rPr>
          <w:bCs/>
          <w:b/>
        </w:rPr>
        <w:t xml:space="preserve">Australia Sydney</w:t>
      </w:r>
      <w:r>
        <w:t xml:space="preserve"> </w:t>
      </w:r>
      <w:r>
        <w:t xml:space="preserve">community.</w:t>
      </w:r>
    </w:p>
    <w:bookmarkEnd w:id="21"/>
    <w:bookmarkStart w:id="23" w:name="the-case-scenario-meridian-high-school"/>
    <w:p>
      <w:pPr>
        <w:pStyle w:val="Heading2"/>
      </w:pPr>
      <w:r>
        <w:t xml:space="preserve">3. The Case Scenario: "Meridian High School"</w:t>
      </w:r>
    </w:p>
    <w:p>
      <w:pPr>
        <w:pStyle w:val="FirstParagraph"/>
      </w:pPr>
      <w:r>
        <w:rPr>
          <w:bCs/>
          <w:b/>
        </w:rPr>
        <w:t xml:space="preserve">Name:</w:t>
      </w:r>
      <w:r>
        <w:t xml:space="preserve"> </w:t>
      </w:r>
      <w:r>
        <w:t xml:space="preserve">Meridian High School (Pseudonym)</w:t>
      </w:r>
    </w:p>
    <w:p>
      <w:pPr>
        <w:pStyle w:val="BodyText"/>
      </w:pPr>
      <w:r>
        <w:rPr>
          <w:bCs/>
          <w:b/>
        </w:rPr>
        <w:t xml:space="preserve">Type:</w:t>
      </w:r>
      <w:r>
        <w:t xml:space="preserve"> </w:t>
      </w:r>
      <w:r>
        <w:t xml:space="preserve">Co-educational Public Comprehensive School</w:t>
      </w:r>
    </w:p>
    <w:p>
      <w:pPr>
        <w:pStyle w:val="BodyText"/>
      </w:pPr>
      <w:r>
        <w:rPr>
          <w:bCs/>
          <w:b/>
        </w:rPr>
        <w:t xml:space="preserve">Location:</w:t>
      </w:r>
      <w:r>
        <w:t xml:space="preserve">An inner-city suburb of</w:t>
      </w:r>
      <w:r>
        <w:t xml:space="preserve"> </w:t>
      </w:r>
      <w:r>
        <w:rPr>
          <w:bCs/>
          <w:b/>
        </w:rPr>
        <w:t xml:space="preserve">Australia, Sydney</w:t>
      </w:r>
      <w:r>
        <w:t xml:space="preserve">, serving a catchment area with mixed socioeconomic status.</w:t>
      </w:r>
    </w:p>
    <w:p>
      <w:pPr>
        <w:pStyle w:val="BodyText"/>
      </w:pPr>
      <w:r>
        <w:rPr>
          <w:bCs/>
          <w:b/>
        </w:rPr>
        <w:t xml:space="preserve">Cohort Size:</w:t>
      </w:r>
    </w:p>
    <w:bookmarkStart w:id="22" w:name="the-challenge"/>
    <w:p>
      <w:pPr>
        <w:pStyle w:val="Heading3"/>
      </w:pPr>
      <w:r>
        <w:t xml:space="preserve">The Challenge</w:t>
      </w:r>
    </w:p>
    <w:p>
      <w:pPr>
        <w:pStyle w:val="FirstParagraph"/>
      </w:pPr>
      <w:r>
        <w:t xml:space="preserve">In early 2021, Meridian High School faced a critical juncture. Student attendance rates had dropped below the state average for</w:t>
      </w:r>
      <w:r>
        <w:t xml:space="preserve"> </w:t>
      </w:r>
      <w:r>
        <w:rPr>
          <w:bCs/>
          <w:b/>
        </w:rPr>
        <w:t xml:space="preserve">Australia, Sydney</w:t>
      </w:r>
      <w:r>
        <w:t xml:space="preserve">, and staff morale was critically low due to burnout from pandemic-related disruptions. Furthermore, the integration of digital learning tools remained fragmented across departments. The Board of Management appointed a new Senior</w:t>
      </w:r>
      <w:r>
        <w:t xml:space="preserve"> </w:t>
      </w:r>
      <w:r>
        <w:rPr>
          <w:bCs/>
          <w:b/>
        </w:rPr>
        <w:t xml:space="preserve">Educational Administrator</w:t>
      </w:r>
      <w:r>
        <w:t xml:space="preserve"> </w:t>
      </w:r>
      <w:r>
        <w:t xml:space="preserve">with a mandate to restore stability, modernize operations, and improve academic outcomes within three years.</w:t>
      </w:r>
    </w:p>
    <w:bookmarkEnd w:id="22"/>
    <w:bookmarkEnd w:id="23"/>
    <w:bookmarkStart w:id="27" w:name="Xbd62e25c30bc19efa15b0b4e87aafcd141a6335"/>
    <w:p>
      <w:pPr>
        <w:pStyle w:val="Heading2"/>
      </w:pPr>
      <w:r>
        <w:t xml:space="preserve">4. Strategic Interventions by the Education Administrator</w:t>
      </w:r>
    </w:p>
    <w:p>
      <w:pPr>
        <w:pStyle w:val="FirstParagraph"/>
      </w:pPr>
      <w:r>
        <w:t xml:space="preserve">The appointed</w:t>
      </w:r>
      <w:r>
        <w:t xml:space="preserve"> </w:t>
      </w:r>
      <w:r>
        <w:rPr>
          <w:bCs/>
          <w:b/>
        </w:rPr>
        <w:t xml:space="preserve">Educational Administrator</w:t>
      </w:r>
      <w:r>
        <w:t xml:space="preserve">, Ms. Sarah Jenkins, implemented a multi-faceted strategy tailored to the unique challenges of operating within</w:t>
      </w:r>
      <w:r>
        <w:t xml:space="preserve"> </w:t>
      </w:r>
      <w:r>
        <w:rPr>
          <w:bCs/>
          <w:b/>
        </w:rPr>
        <w:t xml:space="preserve">Australia, Sydney’s</w:t>
      </w:r>
      <w:r>
        <w:t xml:space="preserve"> </w:t>
      </w:r>
      <w:r>
        <w:t xml:space="preserve">public school framework.</w:t>
      </w:r>
    </w:p>
    <w:bookmarkStart w:id="24" w:name="Xf6406edbc7eaa475edc5ce7ee91da447b11aee5"/>
    <w:p>
      <w:pPr>
        <w:pStyle w:val="Heading3"/>
      </w:pPr>
      <w:r>
        <w:t xml:space="preserve">4.1 Digital Infrastructure and Hybrid Learning Integration</w:t>
      </w:r>
    </w:p>
    <w:p>
      <w:pPr>
        <w:pStyle w:val="FirstParagraph"/>
      </w:pPr>
      <w:r>
        <w:t xml:space="preserve">A major focus was the digitization of administrative workflows and teaching resources. The</w:t>
      </w:r>
      <w:r>
        <w:t xml:space="preserve"> </w:t>
      </w:r>
      <w:r>
        <w:rPr>
          <w:bCs/>
          <w:b/>
        </w:rPr>
        <w:t xml:space="preserve">Educator Administrator</w:t>
      </w:r>
      <w:r>
        <w:t xml:space="preserve"> </w:t>
      </w:r>
      <w:r>
        <w:t xml:space="preserve">led the procurement and deployment of a unified cloud-based learning management system (LMS) compatible with NSW curriculum standards.</w:t>
      </w:r>
    </w:p>
    <w:p>
      <w:pPr>
        <w:pStyle w:val="BodyText"/>
      </w:pPr>
      <w:r>
        <w:rPr>
          <w:bCs/>
          <w:b/>
        </w:rPr>
        <w:t xml:space="preserve">Pillar</w:t>
      </w:r>
    </w:p>
    <w:p>
      <w:pPr>
        <w:pStyle w:val="BodyText"/>
      </w:pPr>
      <w:r>
        <w:rPr>
          <w:bCs/>
          <w:b/>
        </w:rPr>
        <w:t xml:space="preserve">Action Taken by Education Administrator</w:t>
      </w:r>
    </w:p>
    <w:p>
      <w:pPr>
        <w:pStyle w:val="BodyText"/>
      </w:pPr>
      <w:r>
        <w:rPr>
          <w:bCs/>
          <w:b/>
        </w:rPr>
        <w:t xml:space="preserve">Outcome in Australia, Sydney Context</w:t>
      </w:r>
    </w:p>
    <w:p>
      <w:pPr>
        <w:pStyle w:val="BodyText"/>
      </w:pPr>
      <w:r>
        <w:t xml:space="preserve">td &gt;&lt; strong&gt;Data Privacy Compliance</w:t>
      </w:r>
      <w:r>
        <w:t xml:space="preserve"> </w:t>
      </w:r>
      <w:r>
        <w:rPr>
          <w:bCs/>
          <w:b/>
        </w:rPr>
        <w:t xml:space="preserve">td&gt;Audit of student data storage aligned with NSW Privacy Policy</w:t>
      </w:r>
    </w:p>
    <w:p>
      <w:pPr>
        <w:pStyle w:val="BodyText"/>
      </w:pPr>
      <w:r>
        <w:t xml:space="preserve">Zero breaches; improved trust with parents in the Sydney metropolitan area</w:t>
      </w:r>
    </w:p>
    <w:p>
      <w:pPr>
        <w:pStyle w:val="BodyText"/>
      </w:pPr>
      <w:r>
        <w:rPr>
          <w:bCs/>
          <w:b/>
        </w:rPr>
        <w:t xml:space="preserve">Digital Literacy</w:t>
      </w:r>
      <w:r>
        <w:rPr>
          <w:bCs/>
          <w:b/>
        </w:rPr>
        <w:t xml:space="preserve"> </w:t>
      </w:r>
      <w:r>
        <w:rPr>
          <w:bCs/>
          <w:b/>
          <w:bCs/>
          <w:b/>
        </w:rPr>
        <w:t xml:space="preserve">td&gt;Mandatory professional development for all staff on digital pedagogy</w:t>
      </w:r>
      <w:r>
        <w:br/>
      </w:r>
      <w:r>
        <w:rPr>
          <w:bCs/>
          <w:b/>
          <w:bCs/>
          <w:b/>
        </w:rPr>
        <w:t xml:space="preserve">td&gt;</w:t>
      </w:r>
      <w:r>
        <w:rPr>
          <w:bCs/>
          <w:b/>
          <w:bCs/>
          <w:b/>
          <w:bCs/>
          <w:b/>
        </w:rPr>
        <w:t xml:space="preserve">Australia, Sydney</w:t>
      </w:r>
      <w:r>
        <w:rPr>
          <w:bCs/>
          <w:b/>
          <w:bCs/>
          <w:b/>
        </w:rPr>
        <w:t xml:space="preserve">-specific resources integrated into teacher training programs</w:t>
      </w:r>
    </w:p>
    <w:p>
      <w:pPr>
        <w:pStyle w:val="BodyText"/>
      </w:pPr>
      <w:r>
        <w:t xml:space="preserve">85% of teachers reported increased confidence in using digital tools by 2023.</w:t>
      </w:r>
    </w:p>
    <w:bookmarkEnd w:id="24"/>
    <w:bookmarkStart w:id="25" w:name="X33687a51f265822f3f0e0479c993f1cc1741957"/>
    <w:p>
      <w:pPr>
        <w:pStyle w:val="Heading3"/>
      </w:pPr>
      <w:r>
        <w:t xml:space="preserve">4.2 Inclusive Policies and Cultural Competence</w:t>
      </w:r>
    </w:p>
    <w:p>
      <w:pPr>
        <w:pStyle w:val="FirstParagraph"/>
      </w:pPr>
      <w:r>
        <w:t xml:space="preserve">Given the diverse demographics of</w:t>
      </w:r>
      <w:r>
        <w:t xml:space="preserve"> </w:t>
      </w:r>
      <w:r>
        <w:rPr>
          <w:bCs/>
          <w:b/>
        </w:rPr>
        <w:t xml:space="preserve">Australia, Sydney</w:t>
      </w:r>
      <w:r>
        <w:t xml:space="preserve">, the</w:t>
      </w:r>
      <w:r>
        <w:t xml:space="preserve"> </w:t>
      </w:r>
      <w:r>
        <w:rPr>
          <w:bCs/>
          <w:b/>
        </w:rPr>
        <w:t xml:space="preserve">Educator Administrator</w:t>
      </w:r>
      <w:r>
        <w:t xml:space="preserve"> </w:t>
      </w:r>
      <w:r>
        <w:t xml:space="preserve">prioritized cultural responsiveness. This involved revising enrollment policies to better support NESB families and establishing a "Cultural Mentorship Program" pairing Indigenous students with Indigenous staff members.</w:t>
      </w:r>
    </w:p>
    <w:p>
      <w:pPr>
        <w:pStyle w:val="BodyText"/>
      </w:pPr>
      <w:r>
        <w:t xml:space="preserve">The administrator leveraged local community partnerships unique to the</w:t>
      </w:r>
      <w:r>
        <w:t xml:space="preserve"> </w:t>
      </w:r>
      <w:r>
        <w:rPr>
          <w:bCs/>
          <w:b/>
        </w:rPr>
        <w:t xml:space="preserve">Australia, Sydney</w:t>
      </w:r>
      <w:r>
        <w:t xml:space="preserve"> </w:t>
      </w:r>
      <w:r>
        <w:t xml:space="preserve">region, collaborating with local TAFEs and universities to provide vocational pathways. This approach addressed the specific needs of students who might not traditionally pursue university education but required robust career guidance within the competitive NSW job market.</w:t>
      </w:r>
    </w:p>
    <w:bookmarkEnd w:id="25"/>
    <w:bookmarkStart w:id="26" w:name="staff-wellbeing-and-retention-strategies"/>
    <w:p>
      <w:pPr>
        <w:pStyle w:val="Heading3"/>
      </w:pPr>
      <w:r>
        <w:t xml:space="preserve">4.3 Staff Wellbeing and Retention Strategies</w:t>
      </w:r>
    </w:p>
    <w:p>
      <w:pPr>
        <w:pStyle w:val="FirstParagraph"/>
      </w:pPr>
      <w:r>
        <w:t xml:space="preserve">Burnout is a prevalent issue among educators in</w:t>
      </w:r>
      <w:r>
        <w:t xml:space="preserve"> </w:t>
      </w:r>
      <w:r>
        <w:rPr>
          <w:bCs/>
          <w:b/>
        </w:rPr>
        <w:t xml:space="preserve">Australia, Sydney’s</w:t>
      </w:r>
      <w:r>
        <w:t xml:space="preserve"> </w:t>
      </w:r>
      <w:r>
        <w:t xml:space="preserve">high-pressure schools. The</w:t>
      </w:r>
      <w:r>
        <w:t xml:space="preserve"> </w:t>
      </w:r>
      <w:r>
        <w:rPr>
          <w:bCs/>
          <w:b/>
        </w:rPr>
        <w:t xml:space="preserve">Educator Administrator</w:t>
      </w:r>
      <w:r>
        <w:t xml:space="preserve"> </w:t>
      </w:r>
      <w:r>
        <w:t xml:space="preserve">introduced a "Wellbeing First" framework, which included reduced administrative burdens for teachers through automated reporting tools and mandatory mental health days.</w:t>
      </w:r>
    </w:p>
    <w:p>
      <w:pPr>
        <w:pStyle w:val="BodyText"/>
      </w:pPr>
      <w:r>
        <w:t xml:space="preserve">By streamlining the internal bureaucracy, the administrator allowed teaching staff to focus on pedagogy rather than paperwork. This strategic shift resulted in a 20% reduction in staff turnover over two years, a significant metric in the volatile Sydney education job market.</w:t>
      </w:r>
    </w:p>
    <w:bookmarkEnd w:id="26"/>
    <w:bookmarkEnd w:id="27"/>
    <w:bookmarkStart w:id="28" w:name="quantitative-and-qualitative-outcomes"/>
    <w:p>
      <w:pPr>
        <w:pStyle w:val="Heading2"/>
      </w:pPr>
      <w:r>
        <w:t xml:space="preserve">5. Quantitative and Qualitative Outcomes</w:t>
      </w:r>
    </w:p>
    <w:p>
      <w:pPr>
        <w:pStyle w:val="FirstParagraph"/>
      </w:pPr>
      <w:r>
        <w:t xml:space="preserve">Three years into the implementation of these strategies, Meridian High School demonstrated marked improvement across key performance indicators (KPIs). The success of these initiatives underscores the critical role of effective</w:t>
      </w:r>
      <w:r>
        <w:t xml:space="preserve"> </w:t>
      </w:r>
      <w:r>
        <w:rPr>
          <w:bCs/>
          <w:b/>
        </w:rPr>
        <w:t xml:space="preserve">Educational Administration</w:t>
      </w:r>
      <w:r>
        <w:t xml:space="preserve"> </w:t>
      </w:r>
      <w:r>
        <w:t xml:space="preserve">in driving institutional change.</w:t>
      </w:r>
    </w:p>
    <w:p>
      <w:pPr>
        <w:numPr>
          <w:ilvl w:val="0"/>
          <w:numId w:val="1002"/>
        </w:numPr>
        <w:pStyle w:val="Compact"/>
      </w:pPr>
      <w:r>
        <w:rPr>
          <w:bCs/>
          <w:b/>
        </w:rPr>
        <w:t xml:space="preserve">Attendance Rates:</w:t>
      </w:r>
      <w:r>
        <w:t xml:space="preserve">Australia, Sydney.</w:t>
      </w:r>
    </w:p>
    <w:p>
      <w:pPr>
        <w:numPr>
          <w:ilvl w:val="0"/>
          <w:numId w:val="1002"/>
        </w:numPr>
        <w:pStyle w:val="Compact"/>
      </w:pPr>
      <w:r>
        <w:rPr>
          <w:bCs/>
          <w:b/>
        </w:rPr>
        <w:t xml:space="preserve">Naplan Performance:</w:t>
      </w:r>
      <w:r>
        <w:t xml:space="preserve"> </w:t>
      </w:r>
      <w:r>
        <w:t xml:space="preserve">Significant gains in reading and numeracy scores, particularly among Year 7 and Year 9 cohorts.</w:t>
      </w:r>
    </w:p>
    <w:p>
      <w:pPr>
        <w:numPr>
          <w:ilvl w:val="0"/>
          <w:numId w:val="1002"/>
        </w:numPr>
        <w:pStyle w:val="Compact"/>
      </w:pPr>
      <w:r>
        <w:rPr>
          <w:bCs/>
          <w:b/>
        </w:rPr>
        <w:t xml:space="preserve">Parental Satisfaction:</w:t>
      </w:r>
      <w:r>
        <w:t xml:space="preserve"> </w:t>
      </w:r>
      <w:r>
        <w:t xml:space="preserve">Survey results showed a 40% increase in parent satisfaction regarding communication and transparency, attributed to the digital portal introduced by the administrator.</w:t>
      </w:r>
    </w:p>
    <w:p>
      <w:pPr>
        <w:numPr>
          <w:ilvl w:val="0"/>
          <w:numId w:val="1002"/>
        </w:numPr>
        <w:pStyle w:val="Compact"/>
      </w:pPr>
      <w:r>
        <w:rPr>
          <w:bCs/>
          <w:b/>
        </w:rPr>
        <w:t xml:space="preserve">HSC Results:</w:t>
      </w:r>
      <w:r>
        <w:t xml:space="preserve"> </w:t>
      </w:r>
      <w:r>
        <w:t xml:space="preserve">The number of students achieving an ATAR above 90 doubled compared to the baseline year.</w:t>
      </w:r>
    </w:p>
    <w:bookmarkEnd w:id="28"/>
    <w:bookmarkStart w:id="29" w:name="Xfd717483ef5160bd33a54a0afa578c2727ba7ef"/>
    <w:p>
      <w:pPr>
        <w:pStyle w:val="Heading2"/>
      </w:pPr>
      <w:r>
        <w:t xml:space="preserve">6. Discussion: The Role of Administration in Sydney's Educational Ecosystem</w:t>
      </w:r>
    </w:p>
    <w:p>
      <w:pPr>
        <w:pStyle w:val="FirstParagraph"/>
      </w:pPr>
      <w:r>
        <w:t xml:space="preserve">This case study illustrates that an</w:t>
      </w:r>
      <w:r>
        <w:t xml:space="preserve"> </w:t>
      </w:r>
      <w:r>
        <w:rPr>
          <w:bCs/>
          <w:b/>
        </w:rPr>
        <w:t xml:space="preserve">Educational Administrator</w:t>
      </w:r>
      <w:r>
        <w:t xml:space="preserve"> </w:t>
      </w:r>
      <w:r>
        <w:t xml:space="preserve">is not merely a compliance officer but a change agent. In the context of</w:t>
      </w:r>
    </w:p>
    <w:p>
      <w:pPr>
        <w:pStyle w:val="BodyText"/>
      </w:pPr>
      <w:r>
        <w:t xml:space="preserve">Australia, Sydney’s fast-paced urban environment, administrators must be agile leaders capable of balancing regulatory demands with innovative pedagogical practices.</w:t>
      </w:r>
    </w:p>
    <w:p>
      <w:pPr>
        <w:pStyle w:val="BodyText"/>
      </w:pPr>
      <w:r>
        <w:t xml:space="preserve">The specific challenges faced by schools in</w:t>
      </w:r>
      <w:r>
        <w:t xml:space="preserve"> </w:t>
      </w:r>
      <w:r>
        <w:rPr>
          <w:bCs/>
          <w:b/>
        </w:rPr>
        <w:t xml:space="preserve">Australia, Sydney</w:t>
      </w:r>
      <w:r>
        <w:t xml:space="preserve">—including high population density and socioeconomic disparity—require administrative solutions that are both data-driven and empathetic. The interventions at Meridian High School highlight the importance of:</w:t>
      </w:r>
    </w:p>
    <w:p>
      <w:pPr>
        <w:numPr>
          <w:ilvl w:val="0"/>
          <w:numId w:val="1003"/>
        </w:numPr>
        <w:pStyle w:val="Compact"/>
      </w:pPr>
      <w:r>
        <w:rPr>
          <w:bCs/>
          <w:b/>
        </w:rPr>
        <w:t xml:space="preserve">Data-Informed Decision Making:</w:t>
      </w:r>
      <w:r>
        <w:t xml:space="preserve"> </w:t>
      </w:r>
      <w:r>
        <w:t xml:space="preserve">Using local Sydney demographic data to tailor resources.</w:t>
      </w:r>
    </w:p>
    <w:p>
      <w:pPr>
        <w:numPr>
          <w:ilvl w:val="0"/>
          <w:numId w:val="1003"/>
        </w:numPr>
        <w:pStyle w:val="Compact"/>
      </w:pPr>
      <w:r>
        <w:t xml:space="preserve">Holistic Support Systems:&lt; / strong &gt; Addressing both academic and wellbeing needs of students.</w:t>
      </w:r>
    </w:p>
    <w:p>
      <w:pPr>
        <w:numPr>
          <w:ilvl w:val="0"/>
          <w:numId w:val="1003"/>
        </w:numPr>
        <w:pStyle w:val="Compact"/>
      </w:pPr>
      <w:r>
        <w:rPr>
          <w:bCs/>
          <w:b/>
        </w:rPr>
        <w:t xml:space="preserve">Digital Transformation:</w:t>
      </w:r>
      <w:r>
        <w:t xml:space="preserve"> </w:t>
      </w:r>
      <w:r>
        <w:t xml:space="preserve">Modernizing infrastructure to meet the expectations of a tech-savvy generation.</w:t>
      </w:r>
    </w:p>
    <w:bookmarkEnd w:id="29"/>
    <w:bookmarkStart w:id="30" w:name="conclusion"/>
    <w:p>
      <w:pPr>
        <w:pStyle w:val="Heading2"/>
      </w:pPr>
      <w:r>
        <w:t xml:space="preserve">7. Conclusion</w:t>
      </w:r>
    </w:p>
    <w:p>
      <w:pPr>
        <w:pStyle w:val="FirstParagraph"/>
      </w:pPr>
      <w:r>
        <w:t xml:space="preserve">The transformation of Meridian High School serves as a compelling model for other educational institutions operating within</w:t>
      </w:r>
    </w:p>
    <w:p>
      <w:pPr>
        <w:pStyle w:val="BodyText"/>
      </w:pPr>
      <w:r>
        <w:t xml:space="preserve">Australia, Sydney’s complex landscape. The proactive and strategic leadership provided by the</w:t>
      </w:r>
    </w:p>
    <w:p>
      <w:pPr>
        <w:pStyle w:val="BodyText"/>
      </w:pPr>
      <w:r>
        <w:t xml:space="preserve">Educational Administrator was the catalyst for sustained improvement.</w:t>
      </w:r>
    </w:p>
    <w:p>
      <w:pPr>
        <w:pStyle w:val="BodyText"/>
      </w:pPr>
      <w:r>
        <w:t xml:space="preserve">As education continues to evolve, the demand for skilled administrators who understand the nuances of local policy (such as NSW Department of Education guidelines) and global best practices will only grow. For institutions in</w:t>
      </w:r>
      <w:r>
        <w:t xml:space="preserve"> </w:t>
      </w:r>
      <w:r>
        <w:rPr>
          <w:bCs/>
          <w:b/>
        </w:rPr>
        <w:t xml:space="preserve">Australia, Sydney</w:t>
      </w:r>
      <w:r>
        <w:t xml:space="preserve">, investing in robust administrative frameworks is not just an operational necessity but a strategic imperative for ensuring equitable and high-quality education for all students.</w:t>
      </w:r>
    </w:p>
    <w:p>
      <w:pPr>
        <w:pStyle w:val="BodyText"/>
      </w:pPr>
      <w:r>
        <w:t xml:space="preserve">Future research should explore how emerging technologies, such as AI-driven analytics, can further empower</w:t>
      </w:r>
      <w:r>
        <w:t xml:space="preserve"> </w:t>
      </w:r>
      <w:r>
        <w:rPr>
          <w:bCs/>
          <w:b/>
        </w:rPr>
        <w:t xml:space="preserve">Educational Administrators</w:t>
      </w:r>
      <w:r>
        <w:t xml:space="preserve"> </w:t>
      </w:r>
      <w:r>
        <w:t xml:space="preserve">to predict student outcomes and allocate resources more efficiently across the diverse regions of</w:t>
      </w:r>
    </w:p>
    <w:p>
      <w:pPr>
        <w:pStyle w:val="BodyText"/>
      </w:pPr>
      <w:r>
        <w:t xml:space="preserve">Australia, Sydney.</w:t>
      </w:r>
    </w:p>
    <w:p>
      <w:pPr>
        <w:pStyle w:val="BodyText"/>
      </w:pPr>
      <w:r>
        <w:rPr>
          <w:bCs/>
          <w:b/>
        </w:rPr>
        <w:t xml:space="preserve">Note:</w:t>
      </w:r>
      <w:r>
        <w:t xml:space="preserve"> </w:t>
      </w:r>
      <w:r>
        <w:t xml:space="preserve">This document is prepared for internal review by stakeholders in the NSW education sector. All names have been anonymized where necessary to protect privacy, but the geographical context of</w:t>
      </w:r>
    </w:p>
    <w:p>
      <w:pPr>
        <w:pStyle w:val="BodyText"/>
      </w:pPr>
      <w:r>
        <w:t xml:space="preserve">Australia, Sydney remains central to the analysis of local administrative challenges and solutions. The term</w:t>
      </w:r>
    </w:p>
    <w:p>
      <w:pPr>
        <w:pStyle w:val="BodyText"/>
      </w:pPr>
      <w:r>
        <w:t xml:space="preserve">Educational Administrator is used throughout to denote senior leadership roles including Principals, Deputy Principals, and Administrative Directors within school settings.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Leadership in Education Administration within Australia, Sydney</dc:title>
  <dc:creator/>
  <dc:language>en</dc:language>
  <cp:keywords/>
  <dcterms:created xsi:type="dcterms:W3CDTF">2026-07-29T07:11:45Z</dcterms:created>
  <dcterms:modified xsi:type="dcterms:W3CDTF">2026-07-29T07:11:45Z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