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Leadership</w:t>
      </w:r>
      <w:r>
        <w:t xml:space="preserve"> </w:t>
      </w:r>
      <w:r>
        <w:t xml:space="preserve">in</w:t>
      </w:r>
      <w:r>
        <w:t xml:space="preserve"> </w:t>
      </w:r>
      <w:r>
        <w:t xml:space="preserve">Canada</w:t>
      </w:r>
      <w:r>
        <w:t xml:space="preserve"> </w:t>
      </w:r>
      <w:r>
        <w:t xml:space="preserve">Vancouver</w:t>
      </w:r>
    </w:p>
    <w:bookmarkStart w:id="28" w:name="Xb99cb141ef8b77d30ff2e07334d02f70ef6c226"/>
    <w:p>
      <w:pPr>
        <w:pStyle w:val="Heading1"/>
      </w:pPr>
      <w:r>
        <w:t xml:space="preserve">Navigating Complexity: A Case Study of an Education Administrator in Canada Vancouver</w:t>
      </w:r>
    </w:p>
    <w:p>
      <w:pPr>
        <w:pStyle w:val="FirstParagraph"/>
      </w:pPr>
      <w:r>
        <w:rPr>
          <w:bCs/>
          <w:b/>
        </w:rPr>
        <w:t xml:space="preserve">Date:</w:t>
      </w:r>
      <w:r>
        <w:t xml:space="preserve"> </w:t>
      </w:r>
      <w:r>
        <w:t xml:space="preserve">October 2023</w:t>
      </w:r>
      <w:r>
        <w:br/>
      </w:r>
      <w:r>
        <w:rPr>
          <w:iCs/>
          <w:i/>
        </w:rPr>
        <w:t xml:space="preserve">An Analysis of Strategic Leadership, Equity, and Operational Efficiency within the Canadian Public School System</w:t>
      </w:r>
      <w:r>
        <w:br/>
      </w:r>
      <w:r>
        <w:rPr>
          <w:bCs/>
          <w:b/>
        </w:rPr>
        <w:t xml:space="preserve">Locus:</w:t>
      </w:r>
      <w:r>
        <w:t xml:space="preserve">Canada Vancouver</w:t>
      </w:r>
      <w:r>
        <w:t xml:space="preserve">, British Columbia</w:t>
      </w:r>
      <w:r>
        <w:br/>
      </w:r>
    </w:p>
    <w:p>
      <w:pPr>
        <w:pStyle w:val="BodyText"/>
      </w:pPr>
      <w:r>
        <w:t xml:space="preserve">Role Focus:</w:t>
      </w:r>
    </w:p>
    <w:p>
      <w:pPr>
        <w:pStyle w:val="BodyText"/>
      </w:pPr>
      <w:r>
        <w:t xml:space="preserve">The Context: A Unique Educational Landscape in Canada Vancouver</w:t>
      </w:r>
    </w:p>
    <w:p>
      <w:pPr>
        <w:pStyle w:val="BodyText"/>
      </w:pPr>
      <w:r>
        <w:t xml:space="preserve">In the bustling metropolitan hub of</w:t>
      </w:r>
      <w:r>
        <w:t xml:space="preserve"> </w:t>
      </w:r>
      <w:r>
        <w:rPr>
          <w:bCs/>
          <w:b/>
        </w:rPr>
        <w:t xml:space="preserve">Canada Vancouver</w:t>
      </w:r>
      <w:r>
        <w:rPr>
          <w:bCs/>
          <w:b/>
        </w:rPr>
        <w:t xml:space="preserve">,</w:t>
      </w:r>
      <w:r>
        <w:t xml:space="preserve">, the educational landscape is defined by its rapid demographic shifts, high housing costs, and a diverse student population. Unlike other regions in North America, the school district in this part of</w:t>
      </w:r>
      <w:r>
        <w:t xml:space="preserve"> </w:t>
      </w:r>
      <w:r>
        <w:t xml:space="preserve">Canada Vancouver</w:t>
      </w:r>
      <w:r>
        <w:t xml:space="preserve"> </w:t>
      </w:r>
      <w:r>
        <w:t xml:space="preserve">operates under specific provincial mandates from the Ministry of Education and Careful Funding while grappling with local municipal pressures. For an</w:t>
      </w:r>
      <w:r>
        <w:t xml:space="preserve"> </w:t>
      </w:r>
      <w:r>
        <w:t xml:space="preserve">Education Administrator</w:t>
      </w:r>
      <w:r>
        <w:t xml:space="preserve">, this environment presents a unique set of challenges that require more than just traditional management skills; it demands cultural competence, fiscal innovation, and emotional intelligence.</w:t>
      </w:r>
    </w:p>
    <w:p>
      <w:pPr>
        <w:pStyle w:val="BodyText"/>
      </w:pPr>
      <w:r>
        <w:t xml:space="preserve">The case study below examines the tenure of a hypothetical but representative senior administrator leading a mid-sized school within the Vancouver School District. This scenario highlights how an effective</w:t>
      </w:r>
      <w:r>
        <w:t xml:space="preserve"> </w:t>
      </w:r>
      <w:r>
        <w:t xml:space="preserve">Education Administrator</w:t>
      </w:r>
      <w:r>
        <w:t xml:space="preserve"> </w:t>
      </w:r>
      <w:r>
        <w:t xml:space="preserve">navigates the intersection of policy, community relations, and student outcomes in one of Canada's most dynamic cities.</w:t>
      </w:r>
    </w:p>
    <w:bookmarkStart w:id="20" w:name="X9bb39e159c5f21721af5af2191f13c731ace0ff"/>
    <w:p>
      <w:pPr>
        <w:pStyle w:val="Heading2"/>
      </w:pPr>
      <w:r>
        <w:t xml:space="preserve">Case Background: The Challenge of Integration and Equity</w:t>
      </w:r>
    </w:p>
    <w:p>
      <w:pPr>
        <w:pStyle w:val="FirstParagraph"/>
      </w:pPr>
      <w:r>
        <w:t xml:space="preserve">The school in question faces a growing population of newly arrived immigrant families. While diversity is a strength, it initially presented significant barriers to academic integration. Many students entered the system with gaps in their prior schooling or varying levels of English language proficiency (ELP). Simultaneously, teacher burnout was rising due to the increasing complexity of classroom needs without adequate support resources.</w:t>
      </w:r>
    </w:p>
    <w:p>
      <w:pPr>
        <w:pStyle w:val="BodyText"/>
      </w:pPr>
      <w:r>
        <w:t xml:space="preserve">The core problem for the</w:t>
      </w:r>
      <w:r>
        <w:t xml:space="preserve"> </w:t>
      </w:r>
      <w:r>
        <w:t xml:space="preserve">Education Administrator</w:t>
      </w:r>
      <w:r>
        <w:t xml:space="preserve"> </w:t>
      </w:r>
      <w:r>
        <w:t xml:space="preserve">was twofold:</w:t>
      </w:r>
    </w:p>
    <w:p>
      <w:pPr>
        <w:numPr>
          <w:ilvl w:val="0"/>
          <w:numId w:val="1001"/>
        </w:numPr>
        <w:pStyle w:val="Compact"/>
      </w:pPr>
      <w:r>
        <w:rPr>
          <w:bCs/>
          <w:b/>
        </w:rPr>
        <w:t xml:space="preserve">Cultural and Linguistic Inclusion:</w:t>
      </w:r>
      <w:r>
        <w:t xml:space="preserve"> Ensuring that new students from diverse backgrounds felt a sense of belonging while meeting rigorous academic standards.</w:t>
      </w:r>
    </w:p>
    <w:p>
      <w:pPr>
        <w:numPr>
          <w:ilvl w:val="0"/>
          <w:numId w:val="1001"/>
        </w:numPr>
        <w:pStyle w:val="Compact"/>
      </w:pPr>
      <w:r>
        <w:t xml:space="preserve">Fiscal Constraint vs. Resource Need: The budget, fixed by provincial grants in</w:t>
      </w:r>
      <w:r>
        <w:t xml:space="preserve"> </w:t>
      </w:r>
      <w:r>
        <w:t xml:space="preserve">Canada Vancouver</w:t>
      </w:r>
      <w:r>
        <w:t xml:space="preserve">, did not automatically scale with the rapid influx of specialized needs students.</w:t>
      </w:r>
    </w:p>
    <w:bookmarkEnd w:id="20"/>
    <w:bookmarkStart w:id="24" w:name="X188d281b313c7183433fcb07445e7d378cccc39"/>
    <w:p>
      <w:pPr>
        <w:pStyle w:val="Heading2"/>
      </w:pPr>
      <w:r>
        <w:t xml:space="preserve">Strategic Intervention: The Role of the Education Administrator</w:t>
      </w:r>
    </w:p>
    <w:p>
      <w:pPr>
        <w:pStyle w:val="FirstParagraph"/>
      </w:pPr>
      <w:r>
        <w:t xml:space="preserve">The appointed</w:t>
      </w:r>
      <w:r>
        <w:t xml:space="preserve"> </w:t>
      </w:r>
      <w:r>
        <w:t xml:space="preserve">Education Administrator</w:t>
      </w:r>
      <w:r>
        <w:t xml:space="preserve">, recognizing that top-down directives were insufficient, adopted a distributed leadership model. This approach empowered department heads and community liaisons to take ownership of specific integration initiatives.</w:t>
      </w:r>
    </w:p>
    <w:bookmarkStart w:id="21" w:name="community-centric-partnerships"/>
    <w:p>
      <w:pPr>
        <w:pStyle w:val="Heading3"/>
      </w:pPr>
      <w:r>
        <w:t xml:space="preserve">1. Community-Centric Partnerships</w:t>
      </w:r>
    </w:p>
    <w:p>
      <w:pPr>
        <w:pStyle w:val="FirstParagraph"/>
      </w:pPr>
      <w:r>
        <w:t xml:space="preserve">In</w:t>
      </w:r>
      <w:r>
        <w:t xml:space="preserve"> </w:t>
      </w:r>
      <w:r>
        <w:t xml:space="preserve">Canada Vancouver</w:t>
      </w:r>
      <w:r>
        <w:t xml:space="preserve">, the relationship between the school and the neighborhood is intimate. The administrator initiated a series of "Community Bridge" meetings, inviting local cultural organizations, settlement agencies, and parent groups to co-design support systems. Instead of viewing parents as passive recipients of information, they were positioned as partners in education.</w:t>
      </w:r>
    </w:p>
    <w:p>
      <w:pPr>
        <w:pStyle w:val="BodyText"/>
      </w:pPr>
      <w:r>
        <w:t xml:space="preserve">This strategy directly addressed the isolation felt by newcomer families. By leveraging local resources in</w:t>
      </w:r>
      <w:r>
        <w:t xml:space="preserve"> </w:t>
      </w:r>
      <w:r>
        <w:t xml:space="preserve">Canada Vancouver</w:t>
      </w:r>
      <w:r>
        <w:t xml:space="preserve">, such as public library literacy programs and volunteer mentorship networks, the school reduced its direct financial burden while increasing service quality. The</w:t>
      </w:r>
    </w:p>
    <w:p>
      <w:pPr>
        <w:pStyle w:val="BodyText"/>
      </w:pPr>
      <w:r>
        <w:t xml:space="preserve">Education Administrator served as the chief negotiator, ensuring these partnerships aligned with provincial curriculum standards.</w:t>
      </w:r>
    </w:p>
    <w:bookmarkEnd w:id="21"/>
    <w:bookmarkStart w:id="22" w:name="data-driven-resource-allocation"/>
    <w:p>
      <w:pPr>
        <w:pStyle w:val="Heading3"/>
      </w:pPr>
      <w:r>
        <w:t xml:space="preserve">2. Data-Driven Resource Allocation</w:t>
      </w:r>
    </w:p>
    <w:p>
      <w:pPr>
        <w:pStyle w:val="FirstParagraph"/>
      </w:pPr>
      <w:r>
        <w:t xml:space="preserve">To address the funding gap, the administrator implemented a rigorous data analysis framework. By tracking attendance, engagement metrics, and language progression rates in real-time, they could identify which interventions were yielding results. This evidence-based approach allowed them to advocate for additional provincial funding with concrete data rather than anecdotal requests.</w:t>
      </w:r>
    </w:p>
    <w:p>
      <w:pPr>
        <w:pStyle w:val="BodyText"/>
      </w:pPr>
      <w:r>
        <w:t xml:space="preserve">The</w:t>
      </w:r>
      <w:r>
        <w:t xml:space="preserve"> </w:t>
      </w:r>
      <w:r>
        <w:t xml:space="preserve">Education Administrator</w:t>
      </w:r>
      <w:r>
        <w:t xml:space="preserve"> </w:t>
      </w:r>
      <w:r>
        <w:t xml:space="preserve">successfully restructured the internal budget to prioritize mental health support and bilingual assistance, recognizing that academic success in</w:t>
      </w:r>
    </w:p>
    <w:p>
      <w:pPr>
        <w:pStyle w:val="BodyText"/>
      </w:pPr>
      <w:r>
        <w:t xml:space="preserve">Canada Vancouver is inextricably linked to student well-being.</w:t>
      </w:r>
    </w:p>
    <w:bookmarkEnd w:id="22"/>
    <w:bookmarkStart w:id="23" w:name="X4baa110cf49b55f2d248604fafd3bf79bdc748f"/>
    <w:p>
      <w:pPr>
        <w:pStyle w:val="Heading3"/>
      </w:pPr>
      <w:r>
        <w:t xml:space="preserve">3. Teacher Retention and Professional Development</w:t>
      </w:r>
    </w:p>
    <w:p>
      <w:pPr>
        <w:pStyle w:val="FirstParagraph"/>
      </w:pPr>
      <w:r>
        <w:t xml:space="preserve">Burnout was addressed through the creation of a "Collaborative Inquiry Team" within the staff room. This structure allowed teachers to share best practices for teaching English Language Learners (ELL) across grade levels, reducing the feeling of isolation among educators. The administrator facilitated training on trauma-informed care, which is critical in high-density urban environments like</w:t>
      </w:r>
      <w:r>
        <w:t xml:space="preserve"> </w:t>
      </w:r>
      <w:r>
        <w:t xml:space="preserve">Canada Vancouver</w:t>
      </w:r>
      <w:r>
        <w:t xml:space="preserve">.</w:t>
      </w:r>
    </w:p>
    <w:bookmarkEnd w:id="23"/>
    <w:bookmarkEnd w:id="24"/>
    <w:bookmarkStart w:id="25" w:name="outcomes-and-impact"/>
    <w:p>
      <w:pPr>
        <w:pStyle w:val="Heading2"/>
      </w:pPr>
      <w:r>
        <w:t xml:space="preserve">Outcomes and Impact</w:t>
      </w:r>
    </w:p>
    <w:p>
      <w:pPr>
        <w:pStyle w:val="FirstParagraph"/>
      </w:pPr>
      <w:r>
        <w:t xml:space="preserve">After three years of implementing these strategies under the guidance of the dedicated</w:t>
      </w:r>
    </w:p>
    <w:p>
      <w:pPr>
        <w:pStyle w:val="BodyText"/>
      </w:pPr>
      <w:r>
        <w:t xml:space="preserve">Education Administrator, the school saw measurable improvements:</w:t>
      </w:r>
    </w:p>
    <w:p>
      <w:pPr>
        <w:numPr>
          <w:ilvl w:val="0"/>
          <w:numId w:val="1002"/>
        </w:numPr>
        <w:pStyle w:val="Compact"/>
      </w:pPr>
      <w:r>
        <w:t xml:space="preserve"> Student Achievement: A 15% increase in literacy rates among newcomer students.</w:t>
      </w:r>
    </w:p>
    <w:p>
      <w:pPr>
        <w:numPr>
          <w:ilvl w:val="0"/>
          <w:numId w:val="1002"/>
        </w:numPr>
        <w:pStyle w:val="Compact"/>
      </w:pPr>
      <w:r>
        <w:t xml:space="preserve">Parental Engagement: Attendance at school events doubled, with representation from over 20 different cultural backgrounds.</w:t>
      </w:r>
    </w:p>
    <w:p>
      <w:pPr>
        <w:numPr>
          <w:ilvl w:val="0"/>
          <w:numId w:val="1002"/>
        </w:numPr>
        <w:pStyle w:val="Compact"/>
      </w:pPr>
      <w:r>
        <w:t xml:space="preserve"> Staff Satisfaction: Turnover rates decreased by 10%, attributed to the supportive professional learning communities fostered by the administrator.</w:t>
      </w:r>
    </w:p>
    <w:bookmarkEnd w:id="25"/>
    <w:bookmarkStart w:id="26" w:name="discussion-the-canadian-context"/>
    <w:p>
      <w:pPr>
        <w:pStyle w:val="Heading2"/>
      </w:pPr>
      <w:r>
        <w:t xml:space="preserve">Discussion: The Canadian Context</w:t>
      </w:r>
    </w:p>
    <w:p>
      <w:pPr>
        <w:pStyle w:val="FirstParagraph"/>
      </w:pPr>
      <w:r>
        <w:t xml:space="preserve">This case study underscores that being an</w:t>
      </w:r>
    </w:p>
    <w:p>
      <w:pPr>
        <w:pStyle w:val="BodyText"/>
      </w:pPr>
      <w:r>
        <w:t xml:space="preserve">Education Administrator in a Canadian context requires a nuanced understanding of federal and provincial responsibilities. In</w:t>
      </w:r>
    </w:p>
    <w:p>
      <w:pPr>
        <w:pStyle w:val="BodyText"/>
      </w:pPr>
      <w:r>
        <w:t xml:space="preserve">Canada Vancouver, education is largely under provincial jurisdiction, but immigration and settlement services are often federally funded or municipal. The successful administrator acts as a bridge between these layers of government.</w:t>
      </w:r>
    </w:p>
    <w:p>
      <w:pPr>
        <w:pStyle w:val="BodyText"/>
      </w:pPr>
      <w:r>
        <w:t xml:space="preserve">Furthermore, the concept of equity in Canadian education is not merely about equality (giving everyone the same resources) but about equity (giving people what they need to succeed). The actions taken by this</w:t>
      </w:r>
    </w:p>
    <w:p>
      <w:pPr>
        <w:pStyle w:val="BodyText"/>
      </w:pPr>
      <w:r>
        <w:t xml:space="preserve">Education Administrator reflect the broader societal values of inclusivity and multiculturalism that define modern Canada.</w:t>
      </w:r>
    </w:p>
    <w:bookmarkEnd w:id="26"/>
    <w:bookmarkStart w:id="27" w:name="conclusion"/>
    <w:p>
      <w:pPr>
        <w:pStyle w:val="Heading2"/>
      </w:pPr>
      <w:r>
        <w:t xml:space="preserve">Conclusion</w:t>
      </w:r>
    </w:p>
    <w:p>
      <w:pPr>
        <w:pStyle w:val="FirstParagraph"/>
      </w:pPr>
      <w:r>
        <w:t xml:space="preserve">The case of school leadership in</w:t>
      </w:r>
      <w:r>
        <w:t xml:space="preserve"> </w:t>
      </w:r>
      <w:r>
        <w:t xml:space="preserve">Canada Vancouver</w:t>
      </w:r>
      <w:r>
        <w:t xml:space="preserve"> demonstrates that effective administration is dynamic and responsive. It requires an</w:t>
      </w:r>
    </w:p>
    <w:p>
      <w:pPr>
        <w:pStyle w:val="BodyText"/>
      </w:pPr>
      <w:r>
        <w:t xml:space="preserve">Education Administrator who can navigate bureaucratic complexities while remaining deeply connected to the human element of education. By fostering community partnerships, utilizing data for advocacy, and supporting teacher well-being, it is possible to transform challenges into opportunities for growth.</w:t>
      </w:r>
    </w:p>
    <w:p>
      <w:pPr>
        <w:pStyle w:val="BodyText"/>
      </w:pPr>
      <w:r>
        <w:t xml:space="preserve">For future administrators looking to serve in similar urban Canadian contexts, this case study suggests that success lies not in rigid adherence to protocol, but in flexible, compassionate leadership that embraces the diversity of</w:t>
      </w:r>
    </w:p>
    <w:p>
      <w:pPr>
        <w:pStyle w:val="BodyText"/>
      </w:pPr>
      <w:r>
        <w:t xml:space="preserve">Canada Vancouver. The ultimate goal remains consistent: creating an educational environment where every student, regardless of their background or language proficiency, can thrive.</w:t>
      </w:r>
    </w:p>
    <w:p>
      <w:pPr>
        <w:pStyle w:val="BodyText"/>
      </w:pPr>
      <w:r>
        <w:t xml:space="preserve">© 2023 Educational Leadership Review. All rights reserved.</w:t>
      </w:r>
      <w:r>
        <w:br/>
      </w:r>
      <w:r>
        <w:t xml:space="preserve">This document is a fictional case study created for illustrative purposes regarding the role of an Education Administrator in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Leadership in Canada Vancouver</dc:title>
  <dc:creator/>
  <dc:language>en</dc:language>
  <cp:keywords/>
  <dcterms:created xsi:type="dcterms:W3CDTF">2026-07-30T00:23:16Z</dcterms:created>
  <dcterms:modified xsi:type="dcterms:W3CDTF">2026-07-30T00:23:16Z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