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33" w:name="Xb2ae3e59a5e6213695a2c9c46036e93ceb82bb8"/>
    <w:p>
      <w:pPr>
        <w:pStyle w:val="Heading1"/>
      </w:pPr>
      <w:r>
        <w:t xml:space="preserve">Strategic Transformation in Public Education: A Case Study of an Education Administrator in Colombia Bogotá</w:t>
      </w:r>
    </w:p>
    <w:bookmarkStart w:id="20" w:name="executive-summary"/>
    <w:p>
      <w:pPr>
        <w:pStyle w:val="Heading2"/>
      </w:pPr>
      <w:r>
        <w:t xml:space="preserve">Executive Summary</w:t>
      </w:r>
    </w:p>
    <w:p>
      <w:pPr>
        <w:pStyle w:val="FirstParagraph"/>
      </w:pPr>
      <w:r>
        <w:t xml:space="preserve">This case study examines the critical role of an</w:t>
      </w:r>
      <w:r>
        <w:t xml:space="preserve"> </w:t>
      </w:r>
      <w:r>
        <w:rPr>
          <w:bCs/>
          <w:b/>
        </w:rPr>
        <w:t xml:space="preserve">Education Administrator</w:t>
      </w:r>
      <w:r>
        <w:t xml:space="preserve"> </w:t>
      </w:r>
      <w:r>
        <w:t xml:space="preserve">within the complex educational ecosystem of</w:t>
      </w:r>
      <w:r>
        <w:t xml:space="preserve"> </w:t>
      </w:r>
      <w:r>
        <w:rPr>
          <w:bCs/>
          <w:b/>
        </w:rPr>
        <w:t xml:space="preserve">Colombia Bogotá</w:t>
      </w:r>
      <w:r>
        <w:t xml:space="preserve">. As one of the most populous cities in Latin America, Bogotá presents a unique set of challenges and opportunities for educational leadership. The administrator tasked with overseeing large-scale public school systems must navigate bureaucratic regulations, socio-economic disparities, and rapid technological integration. This document outlines the operational framework, key challenges faced by</w:t>
      </w:r>
      <w:r>
        <w:t xml:space="preserve"> </w:t>
      </w:r>
      <w:r>
        <w:rPr>
          <w:bCs/>
          <w:b/>
        </w:rPr>
        <w:t xml:space="preserve">Education Administrator</w:t>
      </w:r>
      <w:r>
        <w:t xml:space="preserve"> </w:t>
      </w:r>
      <w:r>
        <w:t xml:space="preserve">professionals in this region, and strategic solutions implemented to improve student outcomes in</w:t>
      </w:r>
      <w:r>
        <w:t xml:space="preserve"> </w:t>
      </w:r>
      <w:r>
        <w:rPr>
          <w:bCs/>
          <w:b/>
        </w:rPr>
        <w:t xml:space="preserve">Colombia Bogotá</w:t>
      </w:r>
      <w:r>
        <w:t xml:space="preserve">.</w:t>
      </w:r>
    </w:p>
    <w:bookmarkEnd w:id="20"/>
    <w:bookmarkStart w:id="21" w:name="X14e594f24cffca0b240e7de582f1b760dc21ceb"/>
    <w:p>
      <w:pPr>
        <w:pStyle w:val="Heading2"/>
      </w:pPr>
      <w:r>
        <w:t xml:space="preserve">Contextual Background: The Educational Landscape of Colombia Bogotá</w:t>
      </w:r>
    </w:p>
    <w:p>
      <w:pPr>
        <w:pStyle w:val="FirstParagraph"/>
      </w:pPr>
      <w:r>
        <w:t xml:space="preserve">Bogotá serves as the capital and largest city of Colombia, housing a population exceeding eight million people. The educational sector in</w:t>
      </w:r>
      <w:r>
        <w:t xml:space="preserve"> </w:t>
      </w:r>
      <w:r>
        <w:rPr>
          <w:bCs/>
          <w:b/>
        </w:rPr>
        <w:t xml:space="preserve">Colombia Bogotá</w:t>
      </w:r>
      <w:r>
        <w:t xml:space="preserve"> </w:t>
      </w:r>
      <w:r>
        <w:t xml:space="preserve">is characterized by high demand but uneven resource distribution. While there are prestigious private institutions, the public system must cater to millions of students from diverse socio-economic backgrounds. The local Secretary of Education faces immense pressure to maintain quality standards while ensuring equity.</w:t>
      </w:r>
    </w:p>
    <w:p>
      <w:pPr>
        <w:pStyle w:val="BodyText"/>
      </w:pPr>
      <w:r>
        <w:t xml:space="preserve">In recent years, the city has launched various initiatives aimed at reducing dropout rates and improving literacy levels. However, the implementation of these policies relies heavily on effective leadership at the district and school levels. It is here that the</w:t>
      </w:r>
      <w:r>
        <w:t xml:space="preserve"> </w:t>
      </w:r>
      <w:r>
        <w:rPr>
          <w:bCs/>
          <w:b/>
        </w:rPr>
        <w:t xml:space="preserve">Education Administrator</w:t>
      </w:r>
      <w:r>
        <w:t xml:space="preserve"> </w:t>
      </w:r>
      <w:r>
        <w:t xml:space="preserve">becomes a pivotal figure. The administrator acts as a bridge between policy formulation in Bogotá’s central government offices and practical execution in individual schools across districts such as Usaquén, Teusaquillo, and Ciudad Bolívar.</w:t>
      </w:r>
    </w:p>
    <w:bookmarkEnd w:id="21"/>
    <w:bookmarkStart w:id="23" w:name="the-role-of-the-education-administrator"/>
    <w:p>
      <w:pPr>
        <w:pStyle w:val="Heading2"/>
      </w:pPr>
      <w:r>
        <w:t xml:space="preserve">The Role of the Education Administrator</w:t>
      </w:r>
    </w:p>
    <w:p>
      <w:pPr>
        <w:pStyle w:val="FirstParagraph"/>
      </w:pPr>
      <w:r>
        <w:t xml:space="preserve">An</w:t>
      </w:r>
      <w:r>
        <w:t xml:space="preserve"> </w:t>
      </w:r>
      <w:r>
        <w:rPr>
          <w:bCs/>
          <w:b/>
        </w:rPr>
        <w:t xml:space="preserve">Education Administrator</w:t>
      </w:r>
      <w:r>
        <w:t xml:space="preserve"> </w:t>
      </w:r>
      <w:r>
        <w:t xml:space="preserve">in this context is not merely a manager of daily operations; they are strategic leaders responsible for holistic school improvement. Their duties encompass budget management, human resources coordination, curriculum implementation oversight, and community engagement. In</w:t>
      </w:r>
      <w:r>
        <w:t xml:space="preserve"> </w:t>
      </w:r>
      <w:r>
        <w:rPr>
          <w:bCs/>
          <w:b/>
        </w:rPr>
        <w:t xml:space="preserve">Colombia Bogotá</w:t>
      </w:r>
      <w:r>
        <w:t xml:space="preserve">, the administrator must also ensure compliance with national guidelines set by the Ministry of National Education while adapting them to local realities.</w:t>
      </w:r>
    </w:p>
    <w:bookmarkStart w:id="22" w:name="key-responsibilities"/>
    <w:p>
      <w:pPr>
        <w:pStyle w:val="Heading3"/>
      </w:pPr>
      <w:r>
        <w:t xml:space="preserve">Key Responsibilities:</w:t>
      </w:r>
    </w:p>
    <w:p>
      <w:pPr>
        <w:numPr>
          <w:ilvl w:val="0"/>
          <w:numId w:val="1001"/>
        </w:numPr>
        <w:pStyle w:val="Compact"/>
      </w:pPr>
      <w:r>
        <w:t xml:space="preserve">Resource Allocation: Ensuring that funds are utilized efficiently to support infrastructure maintenance, technology acquisition, and teacher training.</w:t>
      </w:r>
    </w:p>
    <w:p>
      <w:pPr>
        <w:numPr>
          <w:ilvl w:val="0"/>
          <w:numId w:val="1001"/>
        </w:numPr>
        <w:pStyle w:val="Compact"/>
      </w:pPr>
      <w:r>
        <w:t xml:space="preserve">Stakeholder Management: Building relationships with parents, teachers’ unions, municipal authorities, and non-governmental organizations (NGOs) active in</w:t>
      </w:r>
      <w:r>
        <w:t xml:space="preserve"> </w:t>
      </w:r>
      <w:r>
        <w:rPr>
          <w:bCs/>
          <w:b/>
        </w:rPr>
        <w:t xml:space="preserve">Colombia Bogotá</w:t>
      </w:r>
      <w:r>
        <w:t xml:space="preserve">.</w:t>
      </w:r>
    </w:p>
    <w:p>
      <w:pPr>
        <w:numPr>
          <w:ilvl w:val="0"/>
          <w:numId w:val="1001"/>
        </w:numPr>
        <w:pStyle w:val="Compact"/>
      </w:pPr>
      <w:r>
        <w:t xml:space="preserve">Data-Driven Decision Making: Utilizing data from standardized tests to identify gaps in learning and adjust instructional strategies.</w:t>
      </w:r>
    </w:p>
    <w:p>
      <w:pPr>
        <w:numPr>
          <w:ilvl w:val="0"/>
          <w:numId w:val="1001"/>
        </w:numPr>
        <w:pStyle w:val="Compact"/>
      </w:pPr>
      <w:r>
        <w:t xml:space="preserve">Crisis Management: Addressing issues related to security, health emergencies, or social unrest that frequently impact schools in urban centers.</w:t>
      </w:r>
    </w:p>
    <w:bookmarkEnd w:id="22"/>
    <w:bookmarkEnd w:id="23"/>
    <w:bookmarkStart w:id="24" w:name="X64b4ebdbda5b8a8cc5febe9595437dd640ae023"/>
    <w:p>
      <w:pPr>
        <w:pStyle w:val="Heading2"/>
      </w:pPr>
      <w:r>
        <w:t xml:space="preserve">Challenges Faced by Education Administrators</w:t>
      </w:r>
    </w:p>
    <w:p>
      <w:pPr>
        <w:pStyle w:val="FirstParagraph"/>
      </w:pPr>
      <w:r>
        <w:t xml:space="preserve">The work of an</w:t>
      </w:r>
      <w:r>
        <w:t xml:space="preserve"> </w:t>
      </w:r>
      <w:r>
        <w:rPr>
          <w:bCs/>
          <w:b/>
        </w:rPr>
        <w:t xml:space="preserve">Education Administrator</w:t>
      </w:r>
      <w:r>
        <w:t xml:space="preserve"> </w:t>
      </w:r>
      <w:r>
        <w:t xml:space="preserve">in</w:t>
      </w:r>
      <w:r>
        <w:t xml:space="preserve"> </w:t>
      </w:r>
      <w:r>
        <w:rPr>
          <w:bCs/>
          <w:b/>
        </w:rPr>
        <w:t xml:space="preserve">Colombia Bogotá</w:t>
      </w:r>
      <w:r>
        <w:t xml:space="preserve"> </w:t>
      </w:r>
      <w:r>
        <w:t xml:space="preserve">is fraught with significant hurdles. First and foremost is the challenge of socio-economic inequality. Schools in impoverished neighborhoods often lack basic resources, while those in wealthier areas enjoy state-of-the-art facilities. The administrator must strive to balance these disparities without violating equity principles.</w:t>
      </w:r>
    </w:p>
    <w:p>
      <w:pPr>
        <w:pStyle w:val="BodyText"/>
      </w:pPr>
      <w:r>
        <w:t xml:space="preserve">Secondly, teacher retention remains a persistent issue. Many qualified educators migrate to private institutions or other sectors due to competitive salaries and better working conditions. For an</w:t>
      </w:r>
      <w:r>
        <w:t xml:space="preserve"> </w:t>
      </w:r>
      <w:r>
        <w:rPr>
          <w:bCs/>
          <w:b/>
        </w:rPr>
        <w:t xml:space="preserve">Education Administrator</w:t>
      </w:r>
      <w:r>
        <w:t xml:space="preserve">, creating a supportive work environment becomes crucial for retaining talent in the public sector of</w:t>
      </w:r>
      <w:r>
        <w:t xml:space="preserve"> </w:t>
      </w:r>
      <w:r>
        <w:rPr>
          <w:bCs/>
          <w:b/>
        </w:rPr>
        <w:t xml:space="preserve">Colombia Bogotá</w:t>
      </w:r>
      <w:r>
        <w:t xml:space="preserve">.</w:t>
      </w:r>
    </w:p>
    <w:p>
      <w:pPr>
        <w:pStyle w:val="BodyText"/>
      </w:pPr>
      <w:r>
        <w:t xml:space="preserve">Additionally, technological integration poses both an opportunity and a challenge. While digital tools can enhance learning, many students in marginalized areas lack access to reliable internet or devices. Administrators must coordinate with local governments and private partners to close this digital divide.</w:t>
      </w:r>
    </w:p>
    <w:bookmarkEnd w:id="24"/>
    <w:bookmarkStart w:id="29" w:name="Xe4b5197a21cedfdd2f27815c243a992fd0cd6c3"/>
    <w:p>
      <w:pPr>
        <w:pStyle w:val="Heading2"/>
      </w:pPr>
      <w:r>
        <w:t xml:space="preserve">Case Scenario: Implementing a Digital Literacy Program</w:t>
      </w:r>
    </w:p>
    <w:p>
      <w:pPr>
        <w:pStyle w:val="FirstParagraph"/>
      </w:pPr>
      <w:r>
        <w:t xml:space="preserve">To illustrate the practical application of administrative strategies, consider a recent initiative in Bogotá where an</w:t>
      </w:r>
      <w:r>
        <w:t xml:space="preserve"> </w:t>
      </w:r>
      <w:r>
        <w:rPr>
          <w:bCs/>
          <w:b/>
        </w:rPr>
        <w:t xml:space="preserve">Education Administrator</w:t>
      </w:r>
      <w:r>
        <w:t xml:space="preserve"> </w:t>
      </w:r>
      <w:r>
        <w:t xml:space="preserve">led the deployment of a city-wide digital literacy program. The goal was to equip students with essential computer skills to prepare them for higher education and the modern workforce.</w:t>
      </w:r>
    </w:p>
    <w:bookmarkStart w:id="25" w:name="step-1-needs-assessment"/>
    <w:p>
      <w:pPr>
        <w:pStyle w:val="Heading3"/>
      </w:pPr>
      <w:r>
        <w:t xml:space="preserve">Step 1: Needs Assessment</w:t>
      </w:r>
    </w:p>
    <w:p>
      <w:pPr>
        <w:pStyle w:val="FirstParagraph"/>
      </w:pPr>
      <w:r>
        <w:t xml:space="preserve">The administrator began by conducting a comprehensive audit of existing technological resources across various schools. This data-driven approach allowed for targeted interventions where they were needed most. In</w:t>
      </w:r>
      <w:r>
        <w:t xml:space="preserve"> </w:t>
      </w:r>
      <w:r>
        <w:rPr>
          <w:bCs/>
          <w:b/>
        </w:rPr>
        <w:t xml:space="preserve">Colombia Bogotá</w:t>
      </w:r>
      <w:r>
        <w:t xml:space="preserve">, this meant prioritizing schools in the southern and eastern peripheries, which historically received fewer investments.</w:t>
      </w:r>
    </w:p>
    <w:bookmarkEnd w:id="25"/>
    <w:bookmarkStart w:id="26" w:name="step-2-strategic-partnerships"/>
    <w:p>
      <w:pPr>
        <w:pStyle w:val="Heading3"/>
      </w:pPr>
      <w:r>
        <w:t xml:space="preserve">Step 2: Strategic Partnerships</w:t>
      </w:r>
    </w:p>
    <w:p>
      <w:pPr>
        <w:pStyle w:val="FirstParagraph"/>
      </w:pPr>
      <w:r>
        <w:t xml:space="preserve">Recognizing that the municipal budget alone was insufficient, the</w:t>
      </w:r>
      <w:r>
        <w:t xml:space="preserve"> </w:t>
      </w:r>
      <w:r>
        <w:rPr>
          <w:bCs/>
          <w:b/>
        </w:rPr>
        <w:t xml:space="preserve">Education Administrator</w:t>
      </w:r>
      <w:r>
        <w:t xml:space="preserve"> </w:t>
      </w:r>
      <w:r>
        <w:t xml:space="preserve">forged partnerships with local technology companies and international NGOs. These alliances provided hardware donations and technical expertise. By leveraging external support, the administrator ensured sustainability beyond initial funding cycles.</w:t>
      </w:r>
    </w:p>
    <w:bookmarkEnd w:id="26"/>
    <w:bookmarkStart w:id="27" w:name="step-3-teacher-training"/>
    <w:p>
      <w:pPr>
        <w:pStyle w:val="Heading3"/>
      </w:pPr>
      <w:r>
        <w:t xml:space="preserve">Step 3: Teacher Training</w:t>
      </w:r>
    </w:p>
    <w:p>
      <w:pPr>
        <w:pStyle w:val="FirstParagraph"/>
      </w:pPr>
      <w:r>
        <w:t xml:space="preserve">Technology is only as effective as its users. The administrator organized intensive training workshops for teachers, focusing on pedagogical integration of digital tools rather than just technical operation. This professional development component was critical for long-term success in</w:t>
      </w:r>
      <w:r>
        <w:t xml:space="preserve"> </w:t>
      </w:r>
      <w:r>
        <w:rPr>
          <w:bCs/>
          <w:b/>
        </w:rPr>
        <w:t xml:space="preserve">Colombia Bogotá</w:t>
      </w:r>
      <w:r>
        <w:t xml:space="preserve">.</w:t>
      </w:r>
    </w:p>
    <w:bookmarkEnd w:id="27"/>
    <w:bookmarkStart w:id="28" w:name="step-4-community-engagement"/>
    <w:p>
      <w:pPr>
        <w:pStyle w:val="Heading3"/>
      </w:pPr>
      <w:r>
        <w:t xml:space="preserve">Step 4: Community Engagement</w:t>
      </w:r>
    </w:p>
    <w:p>
      <w:pPr>
        <w:pStyle w:val="FirstParagraph"/>
      </w:pPr>
      <w:r>
        <w:t xml:space="preserve">To maximize impact, the program included components for parents and guardians. Workshops were held to educate families on how to support their children’s digital learning at home. This community-centric approach helped build trust and ensured broader adoption of the new systems.</w:t>
      </w:r>
    </w:p>
    <w:bookmarkEnd w:id="28"/>
    <w:bookmarkEnd w:id="29"/>
    <w:bookmarkStart w:id="30" w:name="outcomes-and-impact"/>
    <w:p>
      <w:pPr>
        <w:pStyle w:val="Heading2"/>
      </w:pPr>
      <w:r>
        <w:t xml:space="preserve">Outcomes and Impact</w:t>
      </w:r>
    </w:p>
    <w:p>
      <w:pPr>
        <w:pStyle w:val="FirstParagraph"/>
      </w:pPr>
      <w:r>
        <w:t xml:space="preserve">After two years of implementation, the results were promising. Student engagement in STEM subjects increased by 15%, and teacher satisfaction scores improved due to enhanced support structures. The</w:t>
      </w:r>
      <w:r>
        <w:t xml:space="preserve"> </w:t>
      </w:r>
      <w:r>
        <w:rPr>
          <w:bCs/>
          <w:b/>
        </w:rPr>
        <w:t xml:space="preserve">Education Administrator</w:t>
      </w:r>
      <w:r>
        <w:t xml:space="preserve">'s ability to coordinate multi-sectoral collaboration proved vital in overcoming logistical barriers typical of large urban environments like</w:t>
      </w:r>
      <w:r>
        <w:t xml:space="preserve"> </w:t>
      </w:r>
      <w:r>
        <w:rPr>
          <w:bCs/>
          <w:b/>
        </w:rPr>
        <w:t xml:space="preserve">Colombia Bogotá</w:t>
      </w:r>
      <w:r>
        <w:t xml:space="preserve">.</w:t>
      </w:r>
    </w:p>
    <w:bookmarkEnd w:id="30"/>
    <w:bookmarkStart w:id="31" w:name="conclusion"/>
    <w:p>
      <w:pPr>
        <w:pStyle w:val="Heading2"/>
      </w:pPr>
      <w:r>
        <w:t xml:space="preserve">Conclusion</w:t>
      </w:r>
    </w:p>
    <w:p>
      <w:pPr>
        <w:pStyle w:val="FirstParagraph"/>
      </w:pPr>
      <w:r>
        <w:t xml:space="preserve">The role of the</w:t>
      </w:r>
      <w:r>
        <w:t xml:space="preserve"> </w:t>
      </w:r>
      <w:r>
        <w:rPr>
          <w:bCs/>
          <w:b/>
        </w:rPr>
        <w:t xml:space="preserve">Education Administrator</w:t>
      </w:r>
      <w:r>
        <w:t xml:space="preserve"> </w:t>
      </w:r>
      <w:r>
        <w:t xml:space="preserve">in</w:t>
      </w:r>
      <w:r>
        <w:t xml:space="preserve"> </w:t>
      </w:r>
      <w:r>
        <w:rPr>
          <w:bCs/>
          <w:b/>
        </w:rPr>
        <w:t xml:space="preserve">Colombia Bogotá</w:t>
      </w:r>
      <w:r>
        <w:t xml:space="preserve"> </w:t>
      </w:r>
      <w:r>
        <w:t xml:space="preserve">is indispensable for driving educational reform and equity. By addressing complex challenges through strategic planning, partnership building, and community involvement, administrators can transform educational landscapes. This case study highlights that effective administration goes beyond routine management; it requires visionary leadership capable of navigating the unique socio-political dynamics of Bogotá.</w:t>
      </w:r>
    </w:p>
    <w:p>
      <w:pPr>
        <w:pStyle w:val="BodyText"/>
      </w:pPr>
      <w:r>
        <w:t xml:space="preserve">As</w:t>
      </w:r>
      <w:r>
        <w:t xml:space="preserve"> </w:t>
      </w:r>
      <w:r>
        <w:rPr>
          <w:bCs/>
          <w:b/>
        </w:rPr>
        <w:t xml:space="preserve">Colombia Bogotá</w:t>
      </w:r>
      <w:r>
        <w:t xml:space="preserve"> </w:t>
      </w:r>
      <w:r>
        <w:t xml:space="preserve">continues to grow and evolve, the demand for skilled</w:t>
      </w:r>
      <w:r>
        <w:t xml:space="preserve"> </w:t>
      </w:r>
      <w:r>
        <w:rPr>
          <w:bCs/>
          <w:b/>
        </w:rPr>
        <w:t xml:space="preserve">Education Administrators</w:t>
      </w:r>
      <w:r>
        <w:t xml:space="preserve"> </w:t>
      </w:r>
      <w:r>
        <w:t xml:space="preserve">will only increase. Future efforts must focus on continuous professional development, policy innovation, and sustained investment in human capital. Only then can the city realize its potential as a leader in educational excellence within Latin America.</w:t>
      </w:r>
    </w:p>
    <w:bookmarkEnd w:id="31"/>
    <w:bookmarkStart w:id="32" w:name="recommendations-for-future-practice"/>
    <w:p>
      <w:pPr>
        <w:pStyle w:val="Heading2"/>
      </w:pPr>
      <w:r>
        <w:t xml:space="preserve">Recommendations for Future Practice</w:t>
      </w:r>
    </w:p>
    <w:p>
      <w:pPr>
        <w:numPr>
          <w:ilvl w:val="0"/>
          <w:numId w:val="1002"/>
        </w:numPr>
        <w:pStyle w:val="Compact"/>
      </w:pPr>
      <w:r>
        <w:t xml:space="preserve">Enhance Data Infrastructure: Invest in robust monitoring and evaluation systems to track progress accurately.</w:t>
      </w:r>
    </w:p>
    <w:p>
      <w:pPr>
        <w:numPr>
          <w:ilvl w:val="0"/>
          <w:numId w:val="1002"/>
        </w:numPr>
        <w:pStyle w:val="Compact"/>
      </w:pPr>
      <w:r>
        <w:t xml:space="preserve">Promote Leadership Development: Create mentorship programs for aspiring</w:t>
      </w:r>
      <w:r>
        <w:t xml:space="preserve"> </w:t>
      </w:r>
      <w:r>
        <w:rPr>
          <w:bCs/>
          <w:b/>
        </w:rPr>
        <w:t xml:space="preserve">Education Administrators</w:t>
      </w:r>
      <w:r>
        <w:t xml:space="preserve"> </w:t>
      </w:r>
      <w:r>
        <w:t xml:space="preserve">in</w:t>
      </w:r>
      <w:r>
        <w:t xml:space="preserve"> </w:t>
      </w:r>
      <w:r>
        <w:rPr>
          <w:bCs/>
          <w:b/>
        </w:rPr>
        <w:t xml:space="preserve">Colombia Bogotá</w:t>
      </w:r>
      <w:r>
        <w:t xml:space="preserve">.</w:t>
      </w:r>
    </w:p>
    <w:p>
      <w:pPr>
        <w:numPr>
          <w:ilvl w:val="0"/>
          <w:numId w:val="1002"/>
        </w:numPr>
        <w:pStyle w:val="Compact"/>
      </w:pPr>
      <w:r>
        <w:t xml:space="preserve">Foster Inter-Sectoral Collaboration: Strengthen ties between public institutions, private enterprises, and civil society.</w:t>
      </w:r>
    </w:p>
    <w:p>
      <w:pPr>
        <w:pStyle w:val="FirstParagraph"/>
      </w:pPr>
      <w:r>
        <w:t xml:space="preserve">This case study underscores the importance of adaptive leadership in shaping the future of education. For any organization or individual involved in educational administration in</w:t>
      </w:r>
      <w:r>
        <w:t xml:space="preserve"> </w:t>
      </w:r>
      <w:r>
        <w:rPr>
          <w:bCs/>
          <w:b/>
        </w:rPr>
        <w:t xml:space="preserve">Colombia Bogotá</w:t>
      </w:r>
      <w:r>
        <w:t xml:space="preserve">, these insights offer a roadmap for navigating challenges and seizing opportunities for meaningful change.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Colombia Bogotá</dc:title>
  <dc:creator/>
  <dc:language>en</dc:language>
  <cp:keywords/>
  <dcterms:created xsi:type="dcterms:W3CDTF">2026-07-29T12:20:51Z</dcterms:created>
  <dcterms:modified xsi:type="dcterms:W3CDTF">2026-07-29T12:20:51Z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