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Medellín</w:t>
      </w:r>
    </w:p>
    <w:bookmarkStart w:id="39" w:name="X98a6bcd31a43972cdab0995a34563f0989c73a4"/>
    <w:p>
      <w:pPr>
        <w:pStyle w:val="Heading1"/>
      </w:pPr>
      <w:r>
        <w:t xml:space="preserve">Strategic Leadership in Urban Transformation: A Case Study of the Education Administrator Role in Colombia Medellín</w: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Education Administrator within the dynamic socio-educational landscape of Colombia Medellín</w:t>
      </w:r>
    </w:p>
    <w:bookmarkStart w:id="20" w:name="introduction-the-contextual-landscape"/>
    <w:p>
      <w:pPr>
        <w:pStyle w:val="Heading2"/>
      </w:pPr>
      <w:r>
        <w:t xml:space="preserve">1. Introduction: The Contextual Landscape</w:t>
      </w:r>
    </w:p>
    <w:p>
      <w:pPr>
        <w:pStyle w:val="FirstParagraph"/>
      </w:pPr>
      <w:r>
        <w:t xml:space="preserve">In recent decades,</w:t>
      </w:r>
      <w:r>
        <w:t xml:space="preserve"> </w:t>
      </w:r>
      <w:r>
        <w:rPr>
          <w:bCs/>
          <w:b/>
        </w:rPr>
        <w:t xml:space="preserve">Colombia Medellín</w:t>
      </w:r>
      <w:r>
        <w:rPr>
          <w:vertAlign w:val="superscript"/>
        </w:rPr>
        <w:t xml:space="preserve">[1]</w:t>
      </w:r>
      <w:hyperlink w:anchor="fn1">
        <w:r>
          <w:rPr>
            <w:rStyle w:val="Hyperlink"/>
          </w:rPr>
          <w:t xml:space="preserve">[i]</w:t>
        </w:r>
      </w:hyperlink>
      <w:r>
        <w:t xml:space="preserve">, once globally notorious for its association with drug cartels and violence, has undergone a profound metamorphosis. It is now frequently cited by urban planners and sociologists as a model of urban regeneration. Central to this transformation is the education sector, which serves as both a mirror of societal change and an engine for future social mobility. Within this complex ecosystem, the</w:t>
      </w:r>
      <w:r>
        <w:t xml:space="preserve"> </w:t>
      </w:r>
      <w:r>
        <w:rPr>
          <w:bCs/>
          <w:b/>
        </w:rPr>
        <w:t xml:space="preserve">Education Administrator</w:t>
      </w:r>
      <w:r>
        <w:t xml:space="preserve"> </w:t>
      </w:r>
      <w:r>
        <w:t xml:space="preserve">has emerged not merely as a bureaucratic manager but as a critical strategic leader responsible for navigating institutional complexities, resource constraints, and community expectations.</w:t>
      </w:r>
    </w:p>
    <w:p>
      <w:pPr>
        <w:pStyle w:val="BodyText"/>
      </w:pPr>
      <w:r>
        <w:t xml:space="preserve">This case study explores the multifaceted responsibilities of the Education Administrator in this specific geographic and cultural context. It examines how these professionals operate at the intersection of public policy implementation, community engagement, and educational innovation. The focus remains squarely on how local administrative practices in</w:t>
      </w:r>
      <w:r>
        <w:t xml:space="preserve"> </w:t>
      </w:r>
      <w:r>
        <w:rPr>
          <w:bCs/>
          <w:b/>
        </w:rPr>
        <w:t xml:space="preserve">Colombia Medellín</w:t>
      </w:r>
      <w:r>
        <w:rPr>
          <w:vertAlign w:val="superscript"/>
        </w:rPr>
        <w:t xml:space="preserve">[2]</w:t>
      </w:r>
      <w:hyperlink w:anchor="fn2">
        <w:r>
          <w:rPr>
            <w:rStyle w:val="Hyperlink"/>
          </w:rPr>
          <w:t xml:space="preserve">[ii]</w:t>
        </w:r>
      </w:hyperlink>
      <w:r>
        <w:t xml:space="preserve"> </w:t>
      </w:r>
      <w:r>
        <w:t xml:space="preserve">influence student outcomes and institutional efficacy.</w:t>
      </w:r>
    </w:p>
    <w:bookmarkEnd w:id="20"/>
    <w:bookmarkStart w:id="23" w:name="profile-of-the-education-administrator"/>
    <w:p>
      <w:pPr>
        <w:pStyle w:val="Heading2"/>
      </w:pPr>
      <w:r>
        <w:t xml:space="preserve">2. Profile of the Education Administrator</w:t>
      </w:r>
    </w:p>
    <w:p>
      <w:pPr>
        <w:pStyle w:val="FirstParagraph"/>
      </w:pPr>
      <w:r>
        <w:t xml:space="preserve">The modern Education Administrator in this region is defined by a unique blend of competencies. Unlike traditional administrators who may focus solely on compliance and budgeting, the effective administrator in</w:t>
      </w:r>
      <w:r>
        <w:t xml:space="preserve"> </w:t>
      </w:r>
      <w:r>
        <w:rPr>
          <w:bCs/>
          <w:b/>
        </w:rPr>
        <w:t xml:space="preserve">Colombia Medellín</w:t>
      </w:r>
      <w:r>
        <w:rPr>
          <w:vertAlign w:val="superscript"/>
        </w:rPr>
        <w:t xml:space="preserve">[3]</w:t>
      </w:r>
      <w:hyperlink w:anchor="fn3">
        <w:r>
          <w:rPr>
            <w:rStyle w:val="Hyperlink"/>
          </w:rPr>
          <w:t xml:space="preserve">[iii]</w:t>
        </w:r>
      </w:hyperlink>
      <w:r>
        <w:t xml:space="preserve"> </w:t>
      </w:r>
      <w:r>
        <w:t xml:space="preserve">must possess high levels of emotional intelligence, cultural sensitivity, and crisis management skills.</w:t>
      </w:r>
    </w:p>
    <w:bookmarkStart w:id="21" w:name="strategic-resource-allocation"/>
    <w:p>
      <w:pPr>
        <w:pStyle w:val="Heading3"/>
      </w:pPr>
      <w:r>
        <w:t xml:space="preserve">2.1 Strategic Resource Allocation</w:t>
      </w:r>
    </w:p>
    <w:p>
      <w:pPr>
        <w:pStyle w:val="FirstParagraph"/>
      </w:pPr>
      <w:r>
        <w:t xml:space="preserve">In a city where socioeconomic disparities persist despite overall development, the Education Administrator plays a pivotal role in resource distribution. They must ensure that funding from the national Ministry of National Education aligns with local needs identified by municipal authorities like Secretaría de Educación de Medellín. This involves:</w:t>
      </w:r>
    </w:p>
    <w:p>
      <w:pPr>
        <w:numPr>
          <w:ilvl w:val="0"/>
          <w:numId w:val="1001"/>
        </w:numPr>
        <w:pStyle w:val="Compact"/>
      </w:pPr>
      <w:r>
        <w:t xml:space="preserve">Prioritizing infrastructure improvements in marginalized urban comunas (neighborhoods) such as Comuna 13 or San Javier.</w:t>
      </w:r>
    </w:p>
    <w:p>
      <w:pPr>
        <w:numPr>
          <w:ilvl w:val="0"/>
          <w:numId w:val="1001"/>
        </w:numPr>
        <w:pStyle w:val="Compact"/>
      </w:pPr>
      <w:r>
        <w:t xml:space="preserve">Implementing digital inclusion initiatives to bridge the "digital divide" exacerbated by recent global health crises.</w:t>
      </w:r>
    </w:p>
    <w:p>
      <w:pPr>
        <w:numPr>
          <w:ilvl w:val="0"/>
          <w:numId w:val="1001"/>
        </w:numPr>
        <w:pStyle w:val="Compact"/>
      </w:pPr>
      <w:r>
        <w:t xml:space="preserve">Fostering public-private partnerships to supplement state funding with corporate social responsibility investments from local industry.</w:t>
      </w:r>
    </w:p>
    <w:bookmarkEnd w:id="21"/>
    <w:bookmarkStart w:id="22" w:name="X405bfe8442c61d8e4244bf6a89b1825a1a876b9"/>
    <w:p>
      <w:pPr>
        <w:pStyle w:val="Heading3"/>
      </w:pPr>
      <w:r>
        <w:t xml:space="preserve">2.2 Cultural Mediation and Community Engagement</w:t>
      </w:r>
    </w:p>
    <w:p>
      <w:pPr>
        <w:pStyle w:val="FirstParagraph"/>
      </w:pPr>
      <w:r>
        <w:t xml:space="preserve">The history of violence in the region has left deep social scars. Therefore, an Education Administrator must act as a cultural mediator between the school institution and the surrounding community. In</w:t>
      </w:r>
      <w:r>
        <w:t xml:space="preserve"> </w:t>
      </w:r>
      <w:r>
        <w:rPr>
          <w:bCs/>
          <w:b/>
        </w:rPr>
        <w:t xml:space="preserve">Colombia Medellín</w:t>
      </w:r>
      <w:r>
        <w:rPr>
          <w:vertAlign w:val="superscript"/>
        </w:rPr>
        <w:t xml:space="preserve">[4]</w:t>
      </w:r>
      <w:hyperlink w:anchor="fn4">
        <w:r>
          <w:rPr>
            <w:rStyle w:val="Hyperlink"/>
          </w:rPr>
          <w:t xml:space="preserve">[iv]</w:t>
        </w:r>
      </w:hyperlink>
      <w:r>
        <w:t xml:space="preserve">, schools are often viewed as safe havens or "peace zones." Administrators are tasked with:</w:t>
      </w:r>
    </w:p>
    <w:p>
      <w:pPr>
        <w:numPr>
          <w:ilvl w:val="0"/>
          <w:numId w:val="1002"/>
        </w:numPr>
        <w:pStyle w:val="Compact"/>
      </w:pPr>
      <w:r>
        <w:t xml:space="preserve">Maintaining dialogue with parents, local leaders, and community organizations to build trust.</w:t>
      </w:r>
    </w:p>
    <w:p>
      <w:pPr>
        <w:numPr>
          <w:ilvl w:val="0"/>
          <w:numId w:val="1002"/>
        </w:numPr>
        <w:pStyle w:val="Compact"/>
      </w:pPr>
      <w:r>
        <w:t xml:space="preserve">Incorporating peace education curricula that address conflict resolution and citizenship values.</w:t>
      </w:r>
    </w:p>
    <w:p>
      <w:pPr>
        <w:numPr>
          <w:ilvl w:val="0"/>
          <w:numId w:val="1002"/>
        </w:numPr>
        <w:pStyle w:val="Compact"/>
      </w:pPr>
      <w:r>
        <w:t xml:space="preserve">Mitigating the influence of gang recruitment by providing alternative extracurricular activities and mentorship programs.</w:t>
      </w:r>
    </w:p>
    <w:bookmarkEnd w:id="22"/>
    <w:bookmarkEnd w:id="23"/>
    <w:bookmarkStart w:id="27" w:name="X9e4f2a76611630fbcec8f99b08902cfa1b9634b"/>
    <w:p>
      <w:pPr>
        <w:pStyle w:val="Heading2"/>
      </w:pPr>
      <w:r>
        <w:t xml:space="preserve">3. Key Challenges Faced in Colombia Medellín</w:t>
      </w:r>
    </w:p>
    <w:p>
      <w:pPr>
        <w:pStyle w:val="FirstParagraph"/>
      </w:pPr>
      <w:r>
        <w:t xml:space="preserve">The role of the Education Administrator is fraught with challenges that are specific to the local context. Understanding these hurdles is essential for analyzing professional performance and institutional success.</w:t>
      </w:r>
    </w:p>
    <w:p>
      <w:pPr>
        <w:pStyle w:val="BodyText"/>
      </w:pPr>
      <w:r>
        <w:t xml:space="preserve">"In Medellín, an Education Administrator does not just manage a school; they manage a community's hope for stability." — Anonymous Director, Public High School, Comuna 13.</w:t>
      </w:r>
    </w:p>
    <w:bookmarkStart w:id="24" w:name="socioeconomic-inequality"/>
    <w:p>
      <w:pPr>
        <w:pStyle w:val="Heading3"/>
      </w:pPr>
      <w:r>
        <w:t xml:space="preserve">3.1 Socioeconomic Inequality</w:t>
      </w:r>
    </w:p>
    <w:p>
      <w:pPr>
        <w:pStyle w:val="FirstParagraph"/>
      </w:pPr>
      <w:r>
        <w:t xml:space="preserve">Poverty remains a significant barrier to educational attainment. Administrators must navigate the reality that many students face food insecurity, housing instability, and family fragmentation. The administrator’s role expands into social work, coordinating with municipal social services to provide holistic support for at-risk youth.</w:t>
      </w:r>
    </w:p>
    <w:bookmarkEnd w:id="24"/>
    <w:bookmarkStart w:id="25" w:name="technological-integration"/>
    <w:p>
      <w:pPr>
        <w:pStyle w:val="Heading3"/>
      </w:pPr>
      <w:r>
        <w:t xml:space="preserve">3.2 Technological Integration</w:t>
      </w:r>
    </w:p>
    <w:p>
      <w:pPr>
        <w:pStyle w:val="FirstParagraph"/>
      </w:pPr>
      <w:r>
        <w:t xml:space="preserve">While Medellín has invested heavily in digital infrastructure (including cable cars and public libraries), the internal capacity of schools to utilize technology varies. Administrators must lead professional development efforts to train teachers in digital pedagogy, ensuring that technological tools enhance rather than complicate the learning environment.</w:t>
      </w:r>
    </w:p>
    <w:bookmarkEnd w:id="25"/>
    <w:bookmarkStart w:id="26" w:name="regulatory-compliance-and-bureaucracy"/>
    <w:p>
      <w:pPr>
        <w:pStyle w:val="Heading3"/>
      </w:pPr>
      <w:r>
        <w:t xml:space="preserve">3.3 Regulatory Compliance and Bureaucracy</w:t>
      </w:r>
    </w:p>
    <w:p>
      <w:pPr>
        <w:pStyle w:val="FirstParagraph"/>
      </w:pPr>
      <w:r>
        <w:t xml:space="preserve">Navigating the intricate regulatory framework of Colombian education law requires constant vigilance. Education Administrators must ensure compliance with national standards (SNAL) while adapting to local municipal decrees issued by the Secretaría de Educación. This dual accountability creates a complex administrative burden.</w:t>
      </w:r>
    </w:p>
    <w:bookmarkEnd w:id="26"/>
    <w:bookmarkEnd w:id="27"/>
    <w:bookmarkStart w:id="28" w:name="strategic-initiatives-and-best-practices"/>
    <w:p>
      <w:pPr>
        <w:pStyle w:val="Heading2"/>
      </w:pPr>
      <w:r>
        <w:t xml:space="preserve">4. Strategic Initiatives and Best Practices</w:t>
      </w:r>
    </w:p>
    <w:p>
      <w:pPr>
        <w:pStyle w:val="FirstParagraph"/>
      </w:pPr>
      <w:r>
        <w:t xml:space="preserve">To address these challenges, successful Education Administrators in Colombia Medellín have adopted several innovative strategies.</w:t>
      </w:r>
    </w:p>
    <w:p>
      <w:pPr>
        <w:numPr>
          <w:ilvl w:val="0"/>
          <w:numId w:val="1003"/>
        </w:numPr>
        <w:pStyle w:val="Compact"/>
      </w:pPr>
      <w:r>
        <w:rPr>
          <w:bCs/>
          <w:b/>
        </w:rPr>
        <w:t xml:space="preserve">Data-Driven Decision Making:</w:t>
      </w:r>
      <w:r>
        <w:rPr>
          <w:vertAlign w:val="superscript"/>
        </w:rPr>
        <w:t xml:space="preserve">[5]</w:t>
      </w:r>
      <w:hyperlink w:anchor="fn5">
        <w:r>
          <w:rPr>
            <w:rStyle w:val="Hyperlink"/>
          </w:rPr>
          <w:t xml:space="preserve">[v]</w:t>
        </w:r>
      </w:hyperlink>
      <w:r>
        <w:t xml:space="preserve"> </w:t>
      </w:r>
      <w:r>
        <w:t xml:space="preserve">Utilizing standardized testing data (ICFES scores) to identify gaps in curriculum and allocate targeted intervention resources.</w:t>
      </w:r>
    </w:p>
    <w:p>
      <w:pPr>
        <w:numPr>
          <w:ilvl w:val="0"/>
          <w:numId w:val="1003"/>
        </w:numPr>
        <w:pStyle w:val="Compact"/>
      </w:pPr>
      <w:r>
        <w:t xml:space="preserve">Collaborative Governance: Establishing school councils that include parents, teachers, and students to democratize decision-making processes. This approach fosters a sense of ownership among stakeholders.</w:t>
      </w:r>
    </w:p>
    <w:p>
      <w:pPr>
        <w:numPr>
          <w:ilvl w:val="0"/>
          <w:numId w:val="1003"/>
        </w:numPr>
        <w:pStyle w:val="Compact"/>
      </w:pPr>
      <w:r>
        <w:rPr>
          <w:bCs/>
          <w:b/>
        </w:rPr>
        <w:t xml:space="preserve">Eco-Education Projects:</w:t>
      </w:r>
      <w:r>
        <w:rPr>
          <w:vertAlign w:val="superscript"/>
        </w:rPr>
        <w:t xml:space="preserve">[6]</w:t>
      </w:r>
      <w:hyperlink w:anchor="fn6">
        <w:r>
          <w:rPr>
            <w:rStyle w:val="Hyperlink"/>
          </w:rPr>
          <w:t xml:space="preserve">[vi]</w:t>
        </w:r>
      </w:hyperlink>
      <w:r>
        <w:t xml:space="preserve"> </w:t>
      </w:r>
      <w:r>
        <w:t xml:space="preserve">Leveraging Medellín’s green transformation by integrating environmental sustainability into school projects, aligning with the city’s broader "Green Plan" (Plan de Acción Climática).</w:t>
      </w:r>
    </w:p>
    <w:bookmarkEnd w:id="28"/>
    <w:bookmarkStart w:id="29" w:name="case-example-transformation-in-comuna-13"/>
    <w:p>
      <w:pPr>
        <w:pStyle w:val="Heading2"/>
      </w:pPr>
      <w:r>
        <w:t xml:space="preserve">5. Case Example: Transformation in Comuna 13</w:t>
      </w:r>
    </w:p>
    <w:p>
      <w:pPr>
        <w:pStyle w:val="FirstParagraph"/>
      </w:pPr>
      <w:r>
        <w:t xml:space="preserve">A illustrative example of this role in action can be found in the educational institutions of Comuna 13. Historically excluded from the city center, these schools faced high dropout rates and violence-related disruptions. Education Administrators there implemented "Peace Schools" (Escuelas de Paz) frameworks.</w:t>
      </w:r>
    </w:p>
    <w:p>
      <w:pPr>
        <w:pStyle w:val="BodyText"/>
      </w:pPr>
      <w:r>
        <w:t xml:space="preserve">By collaborating with NGOs and local government, administrators restructured school schedules to accommodate community events while maintaining academic rigor. They introduced arts-based learning programs that allowed students to express trauma and aspirations creatively. The result was a measurable increase in enrollment retention rates and a decrease in disciplinary incidents over a five-year period.</w:t>
      </w:r>
    </w:p>
    <w:bookmarkEnd w:id="29"/>
    <w:bookmarkStart w:id="38" w:name="X9bfa58d62e88e1c5f237e81701074b82cb87220"/>
    <w:p>
      <w:pPr>
        <w:pStyle w:val="Heading2"/>
      </w:pPr>
      <w:r>
        <w:t xml:space="preserve">6. Conclusion: The Future of Educational Leadership</w:t>
      </w:r>
    </w:p>
    <w:p>
      <w:pPr>
        <w:pStyle w:val="FirstParagraph"/>
      </w:pPr>
      <w:r>
        <w:t xml:space="preserve">The Education Administrator in Colombia Medellín is no longer an peripheral figure but a central architect of social cohesion. As the city continues to evolve, the demands on this role will intensify. Future administrators must be prepared to handle emerging challenges such as climate change adaptation, post-pandemic learning recovery, and digital equity.</w:t>
      </w:r>
    </w:p>
    <w:p>
      <w:pPr>
        <w:pStyle w:val="BodyText"/>
      </w:pPr>
      <w:r>
        <w:t xml:space="preserve">Ultimately, the success of educational institutions in</w:t>
      </w:r>
      <w:r>
        <w:t xml:space="preserve"> </w:t>
      </w:r>
      <w:r>
        <w:rPr>
          <w:bCs/>
          <w:b/>
        </w:rPr>
        <w:t xml:space="preserve">Colombia Medellín</w:t>
      </w:r>
      <w:r>
        <w:rPr>
          <w:vertAlign w:val="superscript"/>
        </w:rPr>
        <w:t xml:space="preserve">[7]</w:t>
      </w:r>
      <w:hyperlink w:anchor="fn7">
        <w:r>
          <w:rPr>
            <w:rStyle w:val="Hyperlink"/>
          </w:rPr>
          <w:t xml:space="preserve">[vii]</w:t>
        </w:r>
      </w:hyperlink>
      <w:r>
        <w:t xml:space="preserve"> </w:t>
      </w:r>
      <w:r>
        <w:t xml:space="preserve">depends on the ability of administrators to balance technical management with empathetic leadership. By fostering resilient, inclusive, and high-quality learning environments, these professionals contribute directly to the city’s ongoing narrative of hope and transformation.</w:t>
      </w:r>
    </w:p>
    <w:p>
      <w:r>
        <w:pict>
          <v:rect style="width:0;height:1.5pt" o:hralign="center" o:hrstd="t" o:hr="t"/>
        </w:pict>
      </w:r>
    </w:p>
    <w:bookmarkStart w:id="37" w:name="bibliographic-notes-references"/>
    <w:p>
      <w:pPr>
        <w:pStyle w:val="Heading3"/>
      </w:pPr>
      <w:r>
        <w:t xml:space="preserve">Bibliographic Notes &amp; References</w:t>
      </w:r>
    </w:p>
    <w:p>
      <w:pPr>
        <w:numPr>
          <w:ilvl w:val="0"/>
          <w:numId w:val="1004"/>
        </w:numPr>
        <w:pStyle w:val="Compact"/>
      </w:pPr>
      <w:bookmarkStart w:id="30" w:name="fn1"/>
      <w:hyperlink w:anchor="ref1">
        <w:r>
          <w:rPr>
            <w:rStyle w:val="Hyperlink"/>
          </w:rPr>
          <w:t xml:space="preserve">[i]</w:t>
        </w:r>
      </w:hyperlink>
      <w:r>
        <w:t xml:space="preserve"> </w:t>
      </w:r>
      <w:r>
        <w:t xml:space="preserve">The term "Colombia Medellín" refers specifically to the capital city of the Antioquia department, which serves as a microcosm for urban challenges in developing nations.</w:t>
      </w:r>
      <w:bookmarkEnd w:id="30"/>
    </w:p>
    <w:p>
      <w:pPr>
        <w:numPr>
          <w:ilvl w:val="0"/>
          <w:numId w:val="1004"/>
        </w:numPr>
        <w:pStyle w:val="Compact"/>
      </w:pPr>
      <w:bookmarkStart w:id="31" w:name="fn2"/>
      <w:hyperlink w:anchor="ref2">
        <w:r>
          <w:rPr>
            <w:rStyle w:val="Hyperlink"/>
          </w:rPr>
          <w:t xml:space="preserve">[ii]</w:t>
        </w:r>
      </w:hyperlink>
      <w:r>
        <w:t xml:space="preserve"> </w:t>
      </w:r>
      <w:r>
        <w:t xml:space="preserve">Local context implies specific cultural norms, dialect (Paisa), and historical memory that shape administrative interactions.</w:t>
      </w:r>
      <w:bookmarkEnd w:id="31"/>
    </w:p>
    <w:p>
      <w:pPr>
        <w:numPr>
          <w:ilvl w:val="0"/>
          <w:numId w:val="1004"/>
        </w:numPr>
        <w:pStyle w:val="Compact"/>
      </w:pPr>
      <w:bookmarkStart w:id="32" w:name="fn3"/>
      <w:hyperlink w:anchor="ref3">
        <w:r>
          <w:rPr>
            <w:rStyle w:val="Hyperlink"/>
          </w:rPr>
          <w:t xml:space="preserve">[iii]</w:t>
        </w:r>
      </w:hyperlink>
      <w:r>
        <w:t xml:space="preserve"> </w:t>
      </w:r>
      <w:r>
        <w:t xml:space="preserve">Competency frameworks for Colombian school leaders are defined by the Ministry of National Education (MEN).</w:t>
      </w:r>
      <w:bookmarkEnd w:id="32"/>
    </w:p>
    <w:p>
      <w:pPr>
        <w:numPr>
          <w:ilvl w:val="0"/>
          <w:numId w:val="1004"/>
        </w:numPr>
        <w:pStyle w:val="Compact"/>
      </w:pPr>
      <w:bookmarkStart w:id="33" w:name="ref4"/>
      <w:hyperlink w:anchor="ref4">
        <w:r>
          <w:rPr>
            <w:rStyle w:val="Hyperlink"/>
          </w:rPr>
          <w:t xml:space="preserve">[iv]</w:t>
        </w:r>
      </w:hyperlink>
      <w:r>
        <w:t xml:space="preserve"> </w:t>
      </w:r>
      <w:r>
        <w:t xml:space="preserve">Community engagement is critical due to the legacy of armed conflict in the region.</w:t>
      </w:r>
      <w:bookmarkEnd w:id="33"/>
    </w:p>
    <w:p>
      <w:pPr>
        <w:numPr>
          <w:ilvl w:val="0"/>
          <w:numId w:val="1004"/>
        </w:numPr>
        <w:pStyle w:val="Compact"/>
      </w:pPr>
      <w:bookmarkStart w:id="34" w:name="fn5"/>
      <w:hyperlink w:anchor="ref5">
        <w:r>
          <w:rPr>
            <w:rStyle w:val="Hyperlink"/>
          </w:rPr>
          <w:t xml:space="preserve">[v]</w:t>
        </w:r>
      </w:hyperlink>
      <w:r>
        <w:t xml:space="preserve"> </w:t>
      </w:r>
      <w:r>
        <w:t xml:space="preserve">ICFES is the Colombian Institute for Family Welfare and Education Assessment, responsible for national standardized testing.</w:t>
      </w:r>
      <w:bookmarkEnd w:id="34"/>
    </w:p>
    <w:p>
      <w:pPr>
        <w:numPr>
          <w:ilvl w:val="0"/>
          <w:numId w:val="1004"/>
        </w:numPr>
        <w:pStyle w:val="Compact"/>
      </w:pPr>
      <w:bookmarkStart w:id="35" w:name="fn6"/>
      <w:hyperlink w:anchor="ref6">
        <w:r>
          <w:rPr>
            <w:rStyle w:val="Hyperlink"/>
          </w:rPr>
          <w:t xml:space="preserve">[vi]</w:t>
        </w:r>
      </w:hyperlink>
      <w:r>
        <w:t xml:space="preserve"> </w:t>
      </w:r>
      <w:r>
        <w:t xml:space="preserve">Medellín’s transformation includes significant urban greening projects integrated into public spaces and schools.</w:t>
      </w:r>
      <w:bookmarkEnd w:id="35"/>
    </w:p>
    <w:p>
      <w:pPr>
        <w:numPr>
          <w:ilvl w:val="0"/>
          <w:numId w:val="1004"/>
        </w:numPr>
        <w:pStyle w:val="Compact"/>
      </w:pPr>
      <w:bookmarkStart w:id="36" w:name="fn7"/>
      <w:r>
        <w:t xml:space="preserve">[vii]</w:t>
      </w:r>
      <w:bookmarkEnd w:id="36"/>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Colombia Medellín</dc:title>
  <dc:creator/>
  <dc:language>en</dc:language>
  <cp:keywords/>
  <dcterms:created xsi:type="dcterms:W3CDTF">2026-07-30T02:15:33Z</dcterms:created>
  <dcterms:modified xsi:type="dcterms:W3CDTF">2026-07-30T02:15:33Z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