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30" w:name="X03aa2402d1617ac7455e821c987e327ac068633"/>
    <w:p>
      <w:pPr>
        <w:pStyle w:val="Heading1"/>
      </w:pPr>
      <w:r>
        <w:t xml:space="preserve">Case Study Report:</w:t>
      </w:r>
      <w:r>
        <w:br/>
      </w:r>
      <w:r>
        <w:t xml:space="preserve">Analyzing the Role of the Education Administrator in Germany Berlin</w:t>
      </w:r>
    </w:p>
    <w:p>
      <w:pPr>
        <w:pStyle w:val="FirstParagraph"/>
      </w:pPr>
      <w:r>
        <w:rPr>
          <w:bCs/>
          <w:b/>
        </w:rPr>
        <w:t xml:space="preserve">Date:</w:t>
      </w:r>
      <w:r>
        <w:t xml:space="preserve"> </w:t>
      </w:r>
      <w:r>
        <w:t xml:space="preserve">October 2023</w:t>
      </w:r>
      <w:r>
        <w:br/>
      </w:r>
      <w:r>
        <w:rPr>
          <w:bCs/>
          <w:b/>
        </w:rPr>
        <w:t xml:space="preserve">Subject:</w:t>
      </w:r>
      <w:r>
        <w:t xml:space="preserve">The Strategic Impact of Education Administration on Public School Systems</w:t>
      </w:r>
      <w:r>
        <w:br/>
      </w:r>
    </w:p>
    <w:bookmarkStart w:id="20" w:name="introduction"/>
    <w:p>
      <w:pPr>
        <w:pStyle w:val="Heading2"/>
      </w:pPr>
      <w:r>
        <w:t xml:space="preserve">Introduction</w:t>
      </w:r>
    </w:p>
    <w:p>
      <w:pPr>
        <w:pStyle w:val="FirstParagraph"/>
      </w:pPr>
      <w:r>
        <w:t xml:space="preserve">The role of an</w:t>
      </w:r>
    </w:p>
    <w:p>
      <w:pPr>
        <w:pStyle w:val="BodyText"/>
      </w:pPr>
      <w:r>
        <w:t xml:space="preserve">Education Administrator is pivotal in shaping the educational landscape, ensuring that institutions not only meet but exceed regulatory standards while fostering an environment conducive to learning. This case study specifically focuses on the unique challenges and opportunities faced by Education Administrators within</w:t>
      </w:r>
      <w:r>
        <w:t xml:space="preserve"> </w:t>
      </w:r>
      <w:r>
        <w:rPr>
          <w:bCs/>
          <w:b/>
        </w:rPr>
        <w:t xml:space="preserve">Germany Berlin</w:t>
      </w:r>
      <w:r>
        <w:t xml:space="preserve">. As the capital city of Germany, Berlin represents a microcosm of both traditional German educational rigor and modern multicultural dynamics. The administrative framework here is distinct, governed by a mix federal state laws (Senatsverwaltung für Bildung Jugend und Familie)and international influences due to the city's diverse population. This document aims to explore how an</w:t>
      </w:r>
    </w:p>
    <w:p>
      <w:pPr>
        <w:pStyle w:val="BodyText"/>
      </w:pPr>
      <w:r>
        <w:t xml:space="preserve">Education Administrator in Berlin navigates these complexities to drive institutional success.</w:t>
      </w:r>
    </w:p>
    <w:bookmarkEnd w:id="20"/>
    <w:bookmarkStart w:id="21" w:name="X2f73ef1ea560bd3f85418f0ecf0ffea263c374a"/>
    <w:p>
      <w:pPr>
        <w:pStyle w:val="Heading2"/>
      </w:pPr>
      <w:r>
        <w:t xml:space="preserve">Contextual Background: The Berlin Landscape</w:t>
      </w:r>
    </w:p>
    <w:p>
      <w:pPr>
        <w:pStyle w:val="FirstParagraph"/>
      </w:pPr>
      <w:r>
        <w:t xml:space="preserve">Berlin’s education system is characterized by its diversity. With over one-third of the city's residents having a migration background, the demand for inclusive educational policies is higher than in many other German cities. For an</w:t>
      </w:r>
    </w:p>
    <w:p>
      <w:pPr>
        <w:pStyle w:val="BodyText"/>
      </w:pPr>
      <w:r>
        <w:t xml:space="preserve">Education Administrator, this translates into a complex web of requirements involving language integration programs, cultural sensitivity trainingfor staffand resource allocation for special needs students. The administrative structure in Berlin relies heavily on the coordination between state-level directives and school-specific implementations. This decentralization requires administrators to possess strong leadership skills, regulatory knowledge, and community engagement abilities.</w:t>
      </w:r>
    </w:p>
    <w:p>
      <w:pPr>
        <w:pStyle w:val="BodyText"/>
      </w:pPr>
      <w:r>
        <w:rPr>
          <w:bCs/>
          <w:b/>
        </w:rPr>
        <w:t xml:space="preserve">Key Statistic:</w:t>
      </w:r>
      <w:r>
        <w:t xml:space="preserve"> </w:t>
      </w:r>
      <w:r>
        <w:t xml:space="preserve">Approximately 30% of students in Berlin public schools require additional German language support, placing significant pressure on administrative planning for resource distribution.</w:t>
      </w:r>
    </w:p>
    <w:bookmarkEnd w:id="21"/>
    <w:bookmarkStart w:id="22" w:name="Xf76f709a4eaaabe16f640fb2fd1b6115cb13349"/>
    <w:p>
      <w:pPr>
        <w:pStyle w:val="Heading2"/>
      </w:pPr>
      <w:r>
        <w:t xml:space="preserve">The Core Responsibilities of an Education Administrator in Berlin</w:t>
      </w:r>
    </w:p>
    <w:p>
      <w:pPr>
        <w:pStyle w:val="FirstParagraph"/>
      </w:pPr>
      <w:r>
        <w:t xml:space="preserve">To understand the magnitude of the task, one must first define the scope. An</w:t>
      </w:r>
    </w:p>
    <w:p>
      <w:pPr>
        <w:pStyle w:val="BodyText"/>
      </w:pPr>
      <w:r>
        <w:t xml:space="preserve">Education Administrator in this context acts as a bridge between policy makers and classroom practitioners. Their responsibilities extend far beyond budget management; they are strategic planners responsible for curriculum adaptation, teacher retention strategies, and parent-community relations. In Berlin, where bureaucratic processes can be intricate, efficiency is paramount.</w:t>
      </w:r>
    </w:p>
    <w:p>
      <w:pPr>
        <w:numPr>
          <w:ilvl w:val="0"/>
          <w:numId w:val="1001"/>
        </w:numPr>
        <w:pStyle w:val="Compact"/>
      </w:pPr>
      <w:r>
        <w:rPr>
          <w:bCs/>
          <w:b/>
        </w:rPr>
        <w:t xml:space="preserve">Regulatory Compliance:</w:t>
      </w:r>
      <w:r>
        <w:t xml:space="preserve"> </w:t>
      </w:r>
      <w:r>
        <w:t xml:space="preserve">Ensuring that schools adhere to the strict guidelines set by the Senate Administration for Education and Labor. This includes data privacy laws (GDPR), safety protocols, and curriculum standards mandated by</w:t>
      </w:r>
      <w:r>
        <w:t xml:space="preserve"> </w:t>
      </w:r>
      <w:r>
        <w:rPr>
          <w:bCs/>
          <w:b/>
        </w:rPr>
        <w:t xml:space="preserve">Germany Berlin</w:t>
      </w:r>
      <w:r>
        <w:t xml:space="preserve">.</w:t>
      </w:r>
    </w:p>
    <w:p>
      <w:pPr>
        <w:numPr>
          <w:ilvl w:val="0"/>
          <w:numId w:val="1001"/>
        </w:numPr>
        <w:pStyle w:val="Compact"/>
      </w:pPr>
      <w:r>
        <w:t xml:space="preserve">Cultural Integration:Facilitating programs that support non-native German speakers. This involves coordinating with social services and NGOs to provide holistic support systems for students from diverse backgrounds.</w:t>
      </w:r>
    </w:p>
    <w:p>
      <w:pPr>
        <w:numPr>
          <w:ilvl w:val="0"/>
          <w:numId w:val="1001"/>
        </w:numPr>
        <w:pStyle w:val="Compact"/>
      </w:pPr>
      <w:r>
        <w:t xml:space="preserve">Financial Stewardship:Managing budgets allocated by the state. Administrators must make difficult choices regarding funding for technology upgrades, infrastructure maintenance, or additional teaching staff, particularly in under-resourced neighborhoods.</w:t>
      </w:r>
    </w:p>
    <w:bookmarkEnd w:id="22"/>
    <w:bookmarkStart w:id="25" w:name="X4349be93953d38b5c923bf962e386c4c1923df3"/>
    <w:p>
      <w:pPr>
        <w:pStyle w:val="Heading2"/>
      </w:pPr>
      <w:r>
        <w:t xml:space="preserve">Case Scenario: The Digital Transformation Initiative</w:t>
      </w:r>
    </w:p>
    <w:p>
      <w:pPr>
        <w:pStyle w:val="FirstParagraph"/>
      </w:pPr>
      <w:r>
        <w:t xml:space="preserve">To illustrate these dynamics, consider a specific scenario involving a mid-sized comprehensive school (Gymnasium) in the district of Neukölln. This area is known for its high socioeconomic challenges and cultural diversity. The School Board appointed a new</w:t>
      </w:r>
    </w:p>
    <w:p>
      <w:pPr>
        <w:pStyle w:val="BodyText"/>
      </w:pPr>
      <w:r>
        <w:t xml:space="preserve">Education Administrator with the mandate to lead a digital transformation initiative aimed at improving digital literacy among students and staff.</w:t>
      </w:r>
    </w:p>
    <w:bookmarkStart w:id="23" w:name="the-challenge"/>
    <w:p>
      <w:pPr>
        <w:pStyle w:val="Heading3"/>
      </w:pPr>
      <w:r>
        <w:t xml:space="preserve">The Challenge</w:t>
      </w:r>
    </w:p>
    <w:p>
      <w:pPr>
        <w:pStyle w:val="FirstParagraph"/>
      </w:pPr>
      <w:r>
        <w:t xml:space="preserve">The existing infrastructure was outdated, and teacher resistance to new technologies was high due to lack of training. Furthermore, many students lacked access to reliable internet at home, creating a "digital divide." The</w:t>
      </w:r>
    </w:p>
    <w:p>
      <w:pPr>
        <w:pStyle w:val="BodyText"/>
      </w:pPr>
      <w:r>
        <w:t xml:space="preserve">Education Administrator faced the dual challenge of updating hardware while simultaneously addressing equity issues in a resource-constrained environment within</w:t>
      </w:r>
      <w:r>
        <w:t xml:space="preserve"> </w:t>
      </w:r>
      <w:r>
        <w:rPr>
          <w:bCs/>
          <w:b/>
        </w:rPr>
        <w:t xml:space="preserve">Germany Berlin</w:t>
      </w:r>
      <w:r>
        <w:t xml:space="preserve">.</w:t>
      </w:r>
    </w:p>
    <w:bookmarkEnd w:id="23"/>
    <w:bookmarkStart w:id="24" w:name="the-strategy-implemented"/>
    <w:p>
      <w:pPr>
        <w:pStyle w:val="Heading3"/>
      </w:pPr>
      <w:r>
        <w:t xml:space="preserve">The Strategy Implemented</w:t>
      </w:r>
    </w:p>
    <w:p>
      <w:pPr>
        <w:numPr>
          <w:ilvl w:val="0"/>
          <w:numId w:val="1002"/>
        </w:numPr>
        <w:pStyle w:val="Compact"/>
      </w:pPr>
      <w:r>
        <w:t xml:space="preserve">Stakeholder Engagement:The administrator organized town hall meetings involving parents, teachers, and local tech companies. This created a partnership model where local businesses donated equipment or provided internships.</w:t>
      </w:r>
    </w:p>
    <w:p>
      <w:pPr>
        <w:numPr>
          <w:ilvl w:val="0"/>
          <w:numId w:val="1002"/>
        </w:numPr>
        <w:pStyle w:val="Compact"/>
      </w:pPr>
      <w:r>
        <w:t xml:space="preserve">Pilot Programs:Instead of a city-wide rollout, which was risky given Berlin's large school network, the administrator initiated pilot classes in grades 7 and 8. These classes served as test beds for new pedagogical methods utilizing digital tools.</w:t>
      </w:r>
    </w:p>
    <w:p>
      <w:pPr>
        <w:numPr>
          <w:ilvl w:val="0"/>
          <w:numId w:val="1002"/>
        </w:numPr>
        <w:pStyle w:val="Compact"/>
      </w:pPr>
      <w:r>
        <w:t xml:space="preserve">Professional Development:A robust training program was launched for teachers. Recognizing that change management is critical, the administrator focused on peer-mentorship models where tech-savvy teachers supported their colleagues.</w:t>
      </w:r>
    </w:p>
    <w:bookmarkEnd w:id="24"/>
    <w:bookmarkEnd w:id="25"/>
    <w:bookmarkStart w:id="27" w:name="outcomes-and-impact-assessment"/>
    <w:p>
      <w:pPr>
        <w:pStyle w:val="Heading2"/>
      </w:pPr>
      <w:r>
        <w:t xml:space="preserve">Outcomes and Impact Assessment</w:t>
      </w:r>
    </w:p>
    <w:p>
      <w:pPr>
        <w:pStyle w:val="FirstParagraph"/>
      </w:pPr>
      <w:r>
        <w:t xml:space="preserve">After eighteen months, the results were significant. Student engagement scores increased by 15%, and standardized test scores in digital literacy improved by 20%. More importantly, the sense of community ownership over the project grew. Parents reported feeling more connected to their children's education through digital portals that provided real-time feedback on progress.</w:t>
      </w:r>
    </w:p>
    <w:p>
      <w:pPr>
        <w:pStyle w:val="BodyText"/>
      </w:pPr>
      <w:r>
        <w:t xml:space="preserve">For the</w:t>
      </w:r>
    </w:p>
    <w:p>
      <w:pPr>
        <w:pStyle w:val="BodyText"/>
      </w:pPr>
      <w:r>
        <w:t xml:space="preserve">Education Administrator, this success served as a blueprint for other schools in Berlin. The model demonstrated that effective administration is not just about enforcing rules but about empowering stakeholders. The case highlighted how navigating the specific bureaucratic and social landscape of</w:t>
      </w:r>
      <w:r>
        <w:t xml:space="preserve"> </w:t>
      </w:r>
      <w:r>
        <w:rPr>
          <w:bCs/>
          <w:b/>
        </w:rPr>
        <w:t xml:space="preserve">Germany Berlin</w:t>
      </w:r>
      <w:r>
        <w:t xml:space="preserve"> </w:t>
      </w:r>
      <w:r>
        <w:t xml:space="preserve">requires agility and empathy.</w:t>
      </w:r>
    </w:p>
    <w:bookmarkStart w:id="26" w:name="challenges-overcome"/>
    <w:p>
      <w:pPr>
        <w:pStyle w:val="Heading3"/>
      </w:pPr>
      <w:r>
        <w:t xml:space="preserve">Challenges Overcome</w:t>
      </w:r>
    </w:p>
    <w:p>
      <w:pPr>
        <w:pStyle w:val="FirstParagraph"/>
      </w:pPr>
      <w:r>
        <w:t xml:space="preserve">The project was not without hurdles. Initial resistance from older staff members required patience and clear communication regarding job security versus skill enhancement. Additionally, securing ongoing funding for software licenses required persistent advocacy with the local Senate administration. These experiences reinforced the importance of political savvy within the role of an</w:t>
      </w:r>
      <w:r>
        <w:t xml:space="preserve"> </w:t>
      </w:r>
      <w:r>
        <w:rPr>
          <w:bCs/>
          <w:b/>
        </w:rPr>
        <w:t xml:space="preserve">Education Administrator</w:t>
      </w:r>
      <w:r>
        <w:t xml:space="preserve">.</w:t>
      </w:r>
    </w:p>
    <w:bookmarkEnd w:id="26"/>
    <w:bookmarkEnd w:id="27"/>
    <w:bookmarkStart w:id="28" w:name="X39c0e455010117a81d762805bfe70fdb377fb7a"/>
    <w:p>
      <w:pPr>
        <w:pStyle w:val="Heading2"/>
      </w:pPr>
      <w:r>
        <w:t xml:space="preserve">Broader Implications for Education Policy in Germany Berlin</w:t>
      </w:r>
    </w:p>
    <w:p>
      <w:pPr>
        <w:pStyle w:val="FirstParagraph"/>
      </w:pPr>
      <w:r>
        <w:t xml:space="preserve">This case study underscores several broader implications for educational policy in</w:t>
      </w:r>
    </w:p>
    <w:p>
      <w:pPr>
        <w:pStyle w:val="BodyText"/>
      </w:pPr>
      <w:r>
        <w:t xml:space="preserve">Germany Berlin. First, it highlights the necessity of integrating technology equity into core educational planning. As digital skills become fundamental to future employment, administrators must ensure that no student is left behind due to socioeconomic status.</w:t>
      </w:r>
    </w:p>
    <w:p>
      <w:pPr>
        <w:pStyle w:val="BodyText"/>
      </w:pPr>
      <w:r>
        <w:t xml:space="preserve">Second, it emphasizes the value of public-private partnerships. In a city like Berlin, where resources are stretched thin across multiple districts, leveraging external assets can enhance service delivery without increasing the tax burden on residents.</w:t>
      </w:r>
    </w:p>
    <w:p>
      <w:pPr>
        <w:pStyle w:val="BodyText"/>
      </w:pPr>
      <w:r>
        <w:rPr>
          <w:bCs/>
          <w:b/>
        </w:rPr>
        <w:t xml:space="preserve">Conclusion:</w:t>
      </w:r>
      <w:r>
        <w:t xml:space="preserve">The effectiveness of an</w:t>
      </w:r>
    </w:p>
    <w:p>
      <w:pPr>
        <w:pStyle w:val="BodyText"/>
      </w:pPr>
      <w:r>
        <w:t xml:space="preserve">Education Administrator is directly correlated to their ability to adapt local strategies within the broader framework of</w:t>
      </w:r>
    </w:p>
    <w:p>
      <w:pPr>
        <w:pStyle w:val="BodyText"/>
      </w:pPr>
      <w:r>
        <w:t xml:space="preserve">Germany Berlin’s educational policies. By balancing compliance with innovation and inclusivity, these administrators play a crucial role in shaping the future workforce and citizenry.</w:t>
      </w:r>
    </w:p>
    <w:bookmarkEnd w:id="28"/>
    <w:bookmarkStart w:id="29" w:name="Xb6ea16fd475eb6257a585f9e73517c0acedaf72"/>
    <w:p>
      <w:pPr>
        <w:pStyle w:val="Heading2"/>
      </w:pPr>
      <w:r>
        <w:t xml:space="preserve">Recommendations for Future Administrators</w:t>
      </w:r>
    </w:p>
    <w:p>
      <w:pPr>
        <w:numPr>
          <w:ilvl w:val="0"/>
          <w:numId w:val="1003"/>
        </w:numPr>
        <w:pStyle w:val="Compact"/>
      </w:pPr>
      <w:r>
        <w:rPr>
          <w:bCs/>
          <w:b/>
        </w:rPr>
        <w:t xml:space="preserve">Data-Driven Decision Making:</w:t>
      </w:r>
      <w:r>
        <w:t xml:space="preserve">Leverage analytics to identify achievement gaps early.</w:t>
      </w:r>
    </w:p>
    <w:p>
      <w:pPr>
        <w:numPr>
          <w:ilvl w:val="0"/>
          <w:numId w:val="1003"/>
        </w:numPr>
        <w:pStyle w:val="Compact"/>
      </w:pPr>
      <w:r>
        <w:t xml:space="preserve">Community-Centric Leadership:Engage parents and local businesses as active partners in the educational process.Cultural Competency Training: Invest in ongoing training for staff to handle diverse classroom dynamics effectively, a critical aspect of education administration in Berlin.</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Germany Berlin</dc:title>
  <dc:creator/>
  <dc:language>en</dc:language>
  <cp:keywords/>
  <dcterms:created xsi:type="dcterms:W3CDTF">2026-07-29T04:57:50Z</dcterms:created>
  <dcterms:modified xsi:type="dcterms:W3CDTF">2026-07-29T04:57:50Z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