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Frankfurt</w:t>
      </w:r>
    </w:p>
    <w:bookmarkStart w:id="20" w:name="X0b97eb6c81c9bee6b0e40e3986c720620573fc0"/>
    <w:p>
      <w:pPr>
        <w:pStyle w:val="Heading1"/>
      </w:pPr>
      <w:r>
        <w:t xml:space="preserve">The Modern Education Administrator in Germany Frankfurt</w:t>
      </w:r>
    </w:p>
    <w:p>
      <w:pPr>
        <w:pStyle w:val="FirstParagraph"/>
      </w:pPr>
      <w:r>
        <w:br/>
      </w:r>
    </w:p>
    <w:p>
      <w:pPr>
        <w:pStyle w:val="BodyText"/>
      </w:pPr>
      <w:r>
        <w:rPr>
          <w:bCs/>
          <w:b/>
        </w:rPr>
        <w:t xml:space="preserve">Date:</w:t>
      </w:r>
      <w:r>
        <w:t xml:space="preserve"> </w:t>
      </w:r>
      <w:r>
        <w:t xml:space="preserve">May 20, 2024 |</w:t>
      </w:r>
      <w:r>
        <w:t xml:space="preserve"> </w:t>
      </w:r>
      <w:r>
        <w:rPr>
          <w:bCs/>
          <w:b/>
        </w:rPr>
        <w:t xml:space="preserve">Type:</w:t>
      </w:r>
      <w:r>
        <w:t xml:space="preserve"> </w:t>
      </w:r>
      <w:r>
        <w:t xml:space="preserve">Professional Case Study |</w:t>
      </w:r>
      <w:r>
        <w:t xml:space="preserve"> </w:t>
      </w:r>
      <w:r>
        <w:rPr>
          <w:bCs/>
          <w:b/>
        </w:rPr>
        <w:t xml:space="preserve">Territory:</w:t>
      </w:r>
      <w:r>
        <w:t xml:space="preserve">Duisburg to Berlin and beyond.</w:t>
      </w:r>
    </w:p>
    <w:bookmarkEnd w:id="20"/>
    <w:bookmarkStart w:id="22" w:name="Introduction"/>
    <w:bookmarkStart w:id="21" w:name="X61a13badc8a72138c5773b346ae8c111e801de0"/>
    <w:p>
      <w:pPr>
        <w:pStyle w:val="Heading2"/>
      </w:pPr>
      <w:r>
        <w:rPr>
          <w:iCs/>
          <w:i/>
          <w:bCs/>
          <w:b/>
        </w:rPr>
        <w:t xml:space="preserve">**1. Introduction: The Urban Crucible of Frankfurt</w:t>
      </w:r>
    </w:p>
    <w:p>
      <w:pPr>
        <w:pStyle w:val="FirstParagraph"/>
      </w:pPr>
      <w:r>
        <w:t xml:space="preserve">The landscape of education in Germany is undergoing a seismic shift, driven by demographic changes, digital transformation, and the pressing need for inclusive learning environments. Within this vast national context, the city of</w:t>
      </w:r>
      <w:r>
        <w:t xml:space="preserve"> </w:t>
      </w:r>
      <w:r>
        <w:rPr>
          <w:bCs/>
          <w:b/>
        </w:rPr>
        <w:t xml:space="preserve">Germany Frankfurt</w:t>
      </w:r>
      <w:r>
        <w:t xml:space="preserve"> </w:t>
      </w:r>
      <w:r>
        <w:t xml:space="preserve">stands as a unique microcosm of complexity. As one of Europe's financial hubs and home to over 750,000 residents from more than 190 countries, the educational demands in this region are unparalleled.</w:t>
      </w:r>
    </w:p>
    <w:p>
      <w:pPr>
        <w:pStyle w:val="BodyText"/>
      </w:pPr>
      <w:r>
        <w:br/>
      </w:r>
    </w:p>
    <w:p>
      <w:pPr>
        <w:pStyle w:val="BodyText"/>
      </w:pPr>
      <w:r>
        <w:t xml:space="preserve">This case study examines the critical role of the</w:t>
      </w:r>
      <w:r>
        <w:t xml:space="preserve"> </w:t>
      </w:r>
      <w:r>
        <w:rPr>
          <w:bCs/>
          <w:b/>
        </w:rPr>
        <w:t xml:space="preserve">Education Administrator</w:t>
      </w:r>
      <w:r>
        <w:t xml:space="preserve"> </w:t>
      </w:r>
      <w:r>
        <w:t xml:space="preserve">in navigating these specific challenges. By focusing on a hypothetical yet highly realistic scenario involving a large secondary school (Gymnasium) located centrally in Frankfurt am Main, we will explore how strategic administrative leadership can drive institutional success, foster community integration, and ensure regulatory compliance within the strict framework of German state law (Hessisches Schulgesetz).</w:t>
      </w:r>
    </w:p>
    <w:bookmarkEnd w:id="21"/>
    <w:bookmarkEnd w:id="22"/>
    <w:p>
      <w:pPr>
        <w:pStyle w:val="BodyText"/>
      </w:pPr>
      <w:r>
        <w:br/>
      </w:r>
    </w:p>
    <w:bookmarkStart w:id="24" w:name="Problem"/>
    <w:bookmarkStart w:id="23" w:name="Xc0a1e2d096140b0fe4a34e1c451b0d447ac2b06"/>
    <w:p>
      <w:pPr>
        <w:pStyle w:val="Heading2"/>
      </w:pPr>
      <w:r>
        <w:rPr>
          <w:iCs/>
          <w:i/>
          <w:bCs/>
          <w:b/>
        </w:rPr>
        <w:t xml:space="preserve">**2. Problem Statement: Navigating Diversity and Digitalization</w:t>
      </w:r>
    </w:p>
    <w:p>
      <w:pPr>
        <w:pStyle w:val="FirstParagraph"/>
      </w:pPr>
      <w:r>
        <w:t xml:space="preserve">The institution under review, "Frankfurt International Learning Center," faces three primary administrative crises that threaten its operational efficiency and educational quality:</w:t>
      </w:r>
    </w:p>
    <w:p>
      <w:pPr>
        <w:numPr>
          <w:ilvl w:val="0"/>
          <w:numId w:val="1001"/>
        </w:numPr>
        <w:pStyle w:val="Compact"/>
      </w:pPr>
      <w:r>
        <w:rPr>
          <w:bCs/>
          <w:b/>
        </w:rPr>
        <w:t xml:space="preserve">Bureaucratic Overload:</w:t>
      </w:r>
      <w:r>
        <w:t xml:space="preserve"> </w:t>
      </w:r>
      <w:r>
        <w:t xml:space="preserve">The school is struggling with the dual burden of maintaining high academic standards while processing complex immigration and integration paperwork for a rapidly increasing number of refugee students.</w:t>
      </w:r>
    </w:p>
    <w:p>
      <w:pPr>
        <w:numPr>
          <w:ilvl w:val="0"/>
          <w:numId w:val="1001"/>
        </w:numPr>
        <w:pStyle w:val="Compact"/>
      </w:pPr>
      <w:r>
        <w:rPr>
          <w:bCs/>
          <w:b/>
        </w:rPr>
        <w:t xml:space="preserve">Digital Infrastructure Gaps:</w:t>
      </w:r>
      <w:r>
        <w:t xml:space="preserve"> </w:t>
      </w:r>
      <w:r>
        <w:t xml:space="preserve">Despite Frankfurt's status as a tech hub, the school's legacy IT systems are incompatible with modern Learning Management Systems (LMS), hindering hybrid learning capabilities essential post-2020.</w:t>
      </w:r>
    </w:p>
    <w:p>
      <w:pPr>
        <w:numPr>
          <w:ilvl w:val="0"/>
          <w:numId w:val="1001"/>
        </w:numPr>
        <w:pStyle w:val="Compact"/>
      </w:pPr>
      <w:r>
        <w:rPr>
          <w:bCs/>
          <w:b/>
        </w:rPr>
        <w:t xml:space="preserve">Cultural Fragmentation:</w:t>
      </w:r>
      <w:r>
        <w:t xml:space="preserve"> </w:t>
      </w:r>
      <w:r>
        <w:t xml:space="preserve">There is a growing disconnect between the administration, parents from diverse cultural backgrounds in</w:t>
      </w:r>
      <w:r>
        <w:t xml:space="preserve"> </w:t>
      </w:r>
      <w:r>
        <w:rPr>
          <w:bCs/>
          <w:b/>
        </w:rPr>
        <w:t xml:space="preserve">Germany Frankfurt</w:t>
      </w:r>
      <w:r>
        <w:t xml:space="preserve">, and the teaching staff regarding curriculum expectations and behavioral standards.</w:t>
      </w:r>
    </w:p>
    <w:bookmarkEnd w:id="23"/>
    <w:bookmarkEnd w:id="24"/>
    <w:p>
      <w:pPr>
        <w:pStyle w:val="FirstParagraph"/>
      </w:pPr>
      <w:r>
        <w:br/>
      </w:r>
    </w:p>
    <w:bookmarkStart w:id="26" w:name="Role"/>
    <w:bookmarkStart w:id="25" w:name="Xb8de4e5b62cba0a611d4596cfc95f80b52323a1"/>
    <w:p>
      <w:pPr>
        <w:pStyle w:val="Heading2"/>
      </w:pPr>
      <w:r>
        <w:rPr>
          <w:iCs/>
          <w:i/>
          <w:bCs/>
          <w:b/>
        </w:rPr>
        <w:t xml:space="preserve">**3. The Role of the Education Administrator in Germany Frankfurt</w:t>
      </w:r>
    </w:p>
    <w:p>
      <w:pPr>
        <w:pStyle w:val="FirstParagraph"/>
      </w:pPr>
      <w:r>
        <w:t xml:space="preserve">In this context, the title of "Education Administrator" transcends traditional office management. In the German public sector, this role requires a sophisticated blend of legal expertise, pedagogical understanding, and diplomatic skill. The administrator must operate at the intersection of state requirements (Kultusministerium) and local municipal needs (Schulamt).</w:t>
      </w:r>
    </w:p>
    <w:p>
      <w:pPr>
        <w:pStyle w:val="BodyText"/>
      </w:pPr>
      <w:r>
        <w:br/>
      </w:r>
    </w:p>
    <w:p>
      <w:pPr>
        <w:pStyle w:val="BodyText"/>
      </w:pPr>
      <w:r>
        <w:rPr>
          <w:bCs/>
          <w:b/>
        </w:rPr>
        <w:t xml:space="preserve">A. Strategic Resource Allocation:</w:t>
      </w:r>
      <w:r>
        <w:t xml:space="preserve"> </w:t>
      </w:r>
      <w:r>
        <w:t xml:space="preserve">The</w:t>
      </w:r>
      <w:r>
        <w:t xml:space="preserve"> </w:t>
      </w:r>
      <w:r>
        <w:rPr>
          <w:bCs/>
          <w:b/>
        </w:rPr>
        <w:t xml:space="preserve">Education Administrator</w:t>
      </w:r>
      <w:r>
        <w:t xml:space="preserve"> </w:t>
      </w:r>
      <w:r>
        <w:t xml:space="preserve">was tasked with securing funding through both Hessian state grants and private foundations specific to urban education in Frankfurt. This involved writing complex grant applications that highlighted the socio-economic impact of their programs, securing €500,000 for digital upgrades alone.</w:t>
      </w:r>
    </w:p>
    <w:p>
      <w:pPr>
        <w:pStyle w:val="BodyText"/>
      </w:pPr>
      <w:r>
        <w:br/>
      </w:r>
    </w:p>
    <w:p>
      <w:pPr>
        <w:pStyle w:val="BodyText"/>
      </w:pPr>
      <w:r>
        <w:rPr>
          <w:bCs/>
          <w:b/>
        </w:rPr>
        <w:t xml:space="preserve">B. Legal Compliance and Integration:</w:t>
      </w:r>
      <w:r>
        <w:t xml:space="preserve"> </w:t>
      </w:r>
      <w:r>
        <w:t xml:space="preserve">Understanding the nuances of German labor law (Tarifvertrag für den öffentlichen Dienst) was crucial. The administrator restructured hiring practices to include multi-lingual support staff, ensuring that communication barriers did not isolate non-German speaking families.</w:t>
      </w:r>
    </w:p>
    <w:bookmarkEnd w:id="25"/>
    <w:bookmarkEnd w:id="26"/>
    <w:p>
      <w:pPr>
        <w:pStyle w:val="BodyText"/>
      </w:pPr>
      <w:r>
        <w:br/>
      </w:r>
    </w:p>
    <w:bookmarkStart w:id="28" w:name="Intervention"/>
    <w:bookmarkStart w:id="27" w:name="strategic-interventions-implemented"/>
    <w:p>
      <w:pPr>
        <w:pStyle w:val="Heading2"/>
      </w:pPr>
      <w:r>
        <w:rPr>
          <w:iCs/>
          <w:i/>
          <w:bCs/>
          <w:b/>
        </w:rPr>
        <w:t xml:space="preserve">**4. Strategic Interventions Implemented</w:t>
      </w:r>
    </w:p>
    <w:p>
      <w:pPr>
        <w:pStyle w:val="FirstParagraph"/>
      </w:pPr>
      <w:r>
        <w:t xml:space="preserve">To address the identified crises, the administration implemented a three-pillar strategy tailored to the specific demographic and logistical reality of Frankfurt.</w:t>
      </w:r>
    </w:p>
    <w:p>
      <w:pPr>
        <w:pStyle w:val="BodyText"/>
      </w:pPr>
      <w:r>
        <w:br/>
      </w:r>
    </w:p>
    <w:p>
      <w:pPr>
        <w:numPr>
          <w:ilvl w:val="0"/>
          <w:numId w:val="1002"/>
        </w:numPr>
        <w:pStyle w:val="Compact"/>
      </w:pPr>
      <w:r>
        <w:rPr>
          <w:bCs/>
          <w:b/>
        </w:rPr>
        <w:t xml:space="preserve">Pillar One: The Digital Transformation Initiative.</w:t>
      </w:r>
      <w:r>
        <w:t xml:space="preserve"> </w:t>
      </w:r>
      <w:r>
        <w:t xml:space="preserve">The administrator partnered with local IT firms in Frankfurt's banking district to donate refurbished equipment. This not only solved the hardware deficit but also created a vocational training pipeline for at-risk youth, aligning the school's mission with regional economic goals.</w:t>
      </w:r>
    </w:p>
    <w:p>
      <w:pPr>
        <w:numPr>
          <w:ilvl w:val="0"/>
          <w:numId w:val="1002"/>
        </w:numPr>
        <w:pStyle w:val="Compact"/>
      </w:pPr>
      <w:r>
        <w:rPr>
          <w:bCs/>
          <w:b/>
        </w:rPr>
        <w:t xml:space="preserve">Pillar Two: Cultural Mediation Teams.</w:t>
      </w:r>
      <w:r>
        <w:t xml:space="preserve"> </w:t>
      </w:r>
      <w:r>
        <w:t xml:space="preserve">Recognizing that language is a barrier to administration, teams of culturally competent mediators were integrated into the administrative workflow. These teams facilitated parent-teacher meetings in Turkish, Arabic, and English. This move drastically reduced absenteeism among parents and improved trust levels significantly.</w:t>
      </w:r>
    </w:p>
    <w:p>
      <w:pPr>
        <w:numPr>
          <w:ilvl w:val="0"/>
          <w:numId w:val="1002"/>
        </w:numPr>
        <w:pStyle w:val="Compact"/>
      </w:pPr>
      <w:r>
        <w:rPr>
          <w:bCs/>
          <w:b/>
        </w:rPr>
        <w:t xml:space="preserve">Pillar Three: Agile Bureaucracy Reduction.</w:t>
      </w:r>
      <w:r>
        <w:t xml:space="preserve"> </w:t>
      </w:r>
      <w:r>
        <w:t xml:space="preserve">The administrator audited all internal processes to eliminate redundant paperwork required by the Hessisches Schulgesetz. By digitizing student records in compliance with strict German data privacy laws (DSGVO), administrative processing time for new enrollments was cut by 60%.</w:t>
      </w:r>
    </w:p>
    <w:bookmarkEnd w:id="27"/>
    <w:bookmarkEnd w:id="28"/>
    <w:p>
      <w:pPr>
        <w:pStyle w:val="FirstParagraph"/>
      </w:pPr>
      <w:r>
        <w:br/>
      </w:r>
    </w:p>
    <w:bookmarkStart w:id="30" w:name="Results"/>
    <w:bookmarkStart w:id="29" w:name="outcomes-and-impact-analysis"/>
    <w:p>
      <w:pPr>
        <w:pStyle w:val="Heading2"/>
      </w:pPr>
      <w:r>
        <w:rPr>
          <w:iCs/>
          <w:i/>
          <w:bCs/>
          <w:b/>
        </w:rPr>
        <w:t xml:space="preserve">**5. Outcomes and Impact Analysis</w:t>
      </w:r>
    </w:p>
    <w:p>
      <w:pPr>
        <w:pStyle w:val="FirstParagraph"/>
      </w:pPr>
      <w:r>
        <w:t xml:space="preserve">The results of these interventions over an 18-month period were quantifiable and profound. The case study data highlights the following metrics:</w:t>
      </w:r>
    </w:p>
    <w:p>
      <w:pPr>
        <w:numPr>
          <w:ilvl w:val="0"/>
          <w:numId w:val="1003"/>
        </w:numPr>
        <w:pStyle w:val="Compact"/>
      </w:pPr>
      <w:r>
        <w:rPr>
          <w:bCs/>
          <w:b/>
        </w:rPr>
        <w:t xml:space="preserve">Inclusion Rate:</w:t>
      </w:r>
      <w:r>
        <w:t xml:space="preserve"> </w:t>
      </w:r>
      <w:r>
        <w:t xml:space="preserve">The percentage of students with special educational needs or migrant backgrounds successfully integrated into standard classrooms rose from 45% to 78%.</w:t>
      </w:r>
    </w:p>
    <w:p>
      <w:pPr>
        <w:numPr>
          <w:ilvl w:val="0"/>
          <w:numId w:val="1003"/>
        </w:numPr>
        <w:pStyle w:val="Compact"/>
      </w:pPr>
      <w:r>
        <w:rPr>
          <w:bCs/>
          <w:b/>
        </w:rPr>
        <w:t xml:space="preserve">Digital Literacy Scores:</w:t>
      </w:r>
      <w:r>
        <w:t xml:space="preserve"> </w:t>
      </w:r>
      <w:r>
        <w:t xml:space="preserve">Student proficiency in digital tools improved by 35%, as measured by standardized internal assessments.</w:t>
      </w:r>
    </w:p>
    <w:p>
      <w:pPr>
        <w:numPr>
          <w:ilvl w:val="0"/>
          <w:numId w:val="1003"/>
        </w:numPr>
        <w:pStyle w:val="Compact"/>
      </w:pPr>
      <w:r>
        <w:rPr>
          <w:bCs/>
          <w:b/>
        </w:rPr>
        <w:t xml:space="preserve">Staff Satisfaction:</w:t>
      </w:r>
      <w:r>
        <w:t xml:space="preserve"> </w:t>
      </w:r>
      <w:r>
        <w:t xml:space="preserve">Teacher burnout rates decreased by 20%, attributed to the reduction in non-pedagogical administrative burdens handled effectively by the</w:t>
      </w:r>
      <w:r>
        <w:t xml:space="preserve"> </w:t>
      </w:r>
      <w:r>
        <w:rPr>
          <w:bCs/>
          <w:b/>
        </w:rPr>
        <w:t xml:space="preserve">Education Administrator</w:t>
      </w:r>
      <w:r>
        <w:t xml:space="preserve">.</w:t>
      </w:r>
    </w:p>
    <w:p>
      <w:pPr>
        <w:numPr>
          <w:ilvl w:val="0"/>
          <w:numId w:val="1003"/>
        </w:numPr>
        <w:pStyle w:val="Compact"/>
      </w:pPr>
      <w:r>
        <w:rPr>
          <w:bCs/>
          <w:b/>
        </w:rPr>
        <w:t xml:space="preserve">Municipal Recognition:</w:t>
      </w:r>
      <w:r>
        <w:t xml:space="preserve"> </w:t>
      </w:r>
      <w:r>
        <w:t xml:space="preserve">The school was awarded the "Frankfurt City School of Innovation" prize, validating its model for other institutions across Germany.</w:t>
      </w:r>
    </w:p>
    <w:bookmarkEnd w:id="29"/>
    <w:bookmarkEnd w:id="30"/>
    <w:p>
      <w:pPr>
        <w:pStyle w:val="FirstParagraph"/>
      </w:pPr>
      <w:r>
        <w:br/>
      </w:r>
    </w:p>
    <w:bookmarkStart w:id="32" w:name="Challenges"/>
    <w:bookmarkStart w:id="31" w:name="challenges-and-lessons-learned"/>
    <w:p>
      <w:pPr>
        <w:pStyle w:val="Heading2"/>
      </w:pPr>
      <w:r>
        <w:rPr>
          <w:iCs/>
          <w:i/>
          <w:bCs/>
          <w:b/>
        </w:rPr>
        <w:t xml:space="preserve">**6. Challenges and Lessons Learned</w:t>
      </w:r>
    </w:p>
    <w:p>
      <w:pPr>
        <w:pStyle w:val="FirstParagraph"/>
      </w:pPr>
      <w:r>
        <w:t xml:space="preserve">The journey was not without obstacles. The rigid nature of German public administration often delayed procurement processes for the digital initiative. Furthermore, resistance from traditionalist staff members who viewed the new mediation teams as an unnecessary expansion of bureaucracy posed a cultural challenge within the school itself.</w:t>
      </w:r>
    </w:p>
    <w:p>
      <w:pPr>
        <w:pStyle w:val="BodyText"/>
      </w:pPr>
      <w:r>
        <w:br/>
      </w:r>
    </w:p>
    <w:p>
      <w:pPr>
        <w:pStyle w:val="BodyText"/>
      </w:pPr>
      <w:r>
        <w:t xml:space="preserve">However, these challenges provided valuable lessons for any prospective</w:t>
      </w:r>
      <w:r>
        <w:t xml:space="preserve"> </w:t>
      </w:r>
      <w:r>
        <w:rPr>
          <w:bCs/>
          <w:b/>
        </w:rPr>
        <w:t xml:space="preserve">Education Administrator</w:t>
      </w:r>
      <w:r>
        <w:t xml:space="preserve"> </w:t>
      </w:r>
      <w:r>
        <w:t xml:space="preserve">operating in</w:t>
      </w:r>
      <w:r>
        <w:t xml:space="preserve"> </w:t>
      </w:r>
      <w:r>
        <w:rPr>
          <w:bCs/>
          <w:b/>
        </w:rPr>
        <w:t xml:space="preserve">Germany Frankfurt</w:t>
      </w:r>
      <w:r>
        <w:t xml:space="preserve">. The key takeaway is that administrative success in this region is not merely about compliance; it is about adaptability. Administrators must be fluent not only in the language of law but also in the languages of their community. They must understand that Frankfurt's diversity is a resource, not just a logistical burden.</w:t>
      </w:r>
    </w:p>
    <w:bookmarkEnd w:id="31"/>
    <w:bookmarkEnd w:id="32"/>
    <w:p>
      <w:pPr>
        <w:pStyle w:val="BodyText"/>
      </w:pPr>
      <w:r>
        <w:br/>
      </w:r>
    </w:p>
    <w:bookmarkStart w:id="34" w:name="Conclusion"/>
    <w:bookmarkStart w:id="33" w:name="conclusion"/>
    <w:p>
      <w:pPr>
        <w:pStyle w:val="Heading2"/>
      </w:pPr>
      <w:r>
        <w:rPr>
          <w:iCs/>
          <w:i/>
          <w:bCs/>
          <w:b/>
        </w:rPr>
        <w:t xml:space="preserve">**7. Conclusion</w:t>
      </w:r>
    </w:p>
    <w:p>
      <w:pPr>
        <w:pStyle w:val="FirstParagraph"/>
      </w:pPr>
      <w:r>
        <w:t xml:space="preserve">This case study demonstrates that the role of the Education Administrator in Frankfurt is pivotal to the future of German education. By balancing strict regulatory adherence with compassionate, innovative management strategies, administrators can transform schools into hubs of integration and excellence.</w:t>
      </w:r>
    </w:p>
    <w:p>
      <w:pPr>
        <w:pStyle w:val="BodyText"/>
      </w:pPr>
      <w:r>
        <w:br/>
      </w:r>
    </w:p>
    <w:p>
      <w:pPr>
        <w:pStyle w:val="BodyText"/>
      </w:pPr>
      <w:r>
        <w:t xml:space="preserve">The specific context of Frankfurt—with its wealth disparity, cultural diversity, and rapid pace—requires an administrator who is agile, legally savvy, and deeply empathetic. As other German cities face similar demographic shifts, the model established by this case study offers a blueprint for how strategic administrative leadership can elevate educational outcomes. Ultimately, the</w:t>
      </w:r>
      <w:r>
        <w:t xml:space="preserve"> </w:t>
      </w:r>
      <w:r>
        <w:rPr>
          <w:bCs/>
          <w:b/>
        </w:rPr>
        <w:t xml:space="preserve">Education Administrator</w:t>
      </w:r>
      <w:r>
        <w:t xml:space="preserve"> </w:t>
      </w:r>
      <w:r>
        <w:t xml:space="preserve">in</w:t>
      </w:r>
      <w:r>
        <w:t xml:space="preserve"> </w:t>
      </w:r>
      <w:r>
        <w:rPr>
          <w:bCs/>
          <w:b/>
        </w:rPr>
        <w:t xml:space="preserve">Germany Frankfurt</w:t>
      </w:r>
      <w:r>
        <w:t xml:space="preserve"> </w:t>
      </w:r>
      <w:r>
        <w:t xml:space="preserve">acts as the bridge between policy and practice, ensuring that every student, regardless of background, has access to quality education.</w:t>
      </w:r>
    </w:p>
    <w:p>
      <w:pPr>
        <w:pStyle w:val="BodyText"/>
      </w:pPr>
      <w:r>
        <w:br/>
      </w:r>
    </w:p>
    <w:p>
      <w:pPr>
        <w:pStyle w:val="BodyText"/>
      </w:pPr>
      <w:r>
        <w:t xml:space="preserve">The success in Frankfurt is not an isolated incident but a testament to the power of localized administrative strategy. It proves that when leadership adapts to local needs while maintaining high standards, the entire educational ecosystem thrives.</w:t>
      </w:r>
    </w:p>
    <w:bookmarkEnd w:id="33"/>
    <w:bookmarkEnd w:id="34"/>
    <w:p>
      <w:pPr>
        <w:pStyle w:val="BodyText"/>
      </w:pPr>
      <w:r>
        <w:br/>
      </w:r>
    </w:p>
    <w:p>
      <w:r>
        <w:pict>
          <v:rect style="width:0;height:1.5pt" o:hralign="center" o:hrstd="t" o:hr="t"/>
        </w:pict>
      </w:r>
    </w:p>
    <w:p>
      <w:pPr>
        <w:pStyle w:val="FirstParagraph"/>
      </w:pPr>
      <w:r>
        <w:br/>
      </w:r>
    </w:p>
    <w:p>
      <w:pPr>
        <w:pStyle w:val="BodyText"/>
      </w:pPr>
      <w:r>
        <w:rPr>
          <w:iCs/>
          <w:i/>
        </w:rPr>
        <w:t xml:space="preserve">Note: This document serves as a professional reference for educational leadership roles within the German public sector, specifically targeting metropolitan areas like Frankfurt am Main.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Education Administrator in Germany Frankfurt</dc:title>
  <dc:creator/>
  <dc:language>en</dc:language>
  <cp:keywords/>
  <dcterms:created xsi:type="dcterms:W3CDTF">2026-07-29T09:14:08Z</dcterms:created>
  <dcterms:modified xsi:type="dcterms:W3CDTF">2026-07-29T09:14:08Z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