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Transformative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India</w:t>
      </w:r>
      <w:r>
        <w:t xml:space="preserve"> </w:t>
      </w:r>
      <w:r>
        <w:t xml:space="preserve">Bangalore</w:t>
      </w:r>
    </w:p>
    <w:bookmarkStart w:id="32" w:name="Xe0055bcd7b8f724c1955ce18abaaf77de216c9f"/>
    <w:p>
      <w:pPr>
        <w:pStyle w:val="Heading1"/>
      </w:pPr>
      <w:r>
        <w:t xml:space="preserve">Bridging the Gap: A Strategic Case Study on Education Administration in Bangalore, India</w:t>
      </w:r>
    </w:p>
    <w:p>
      <w:pPr>
        <w:pStyle w:val="FirstParagraph"/>
      </w:pPr>
      <w:r>
        <w:rPr>
          <w:bCs/>
          <w:b/>
        </w:rPr>
        <w:t xml:space="preserve">Date:</w:t>
      </w:r>
      <w:r>
        <w:t xml:space="preserve"> </w:t>
      </w:r>
      <w:r>
        <w:t xml:space="preserve">October 2023</w:t>
      </w:r>
    </w:p>
    <w:p>
      <w:pPr>
        <w:pStyle w:val="BodyText"/>
      </w:pPr>
      <w:r>
        <w:rPr>
          <w:bCs/>
          <w:b/>
        </w:rPr>
        <w:t xml:space="preserve">Audience:</w:t>
      </w:r>
    </w:p>
    <w:p>
      <w:pPr>
        <w:pStyle w:val="BodyText"/>
      </w:pPr>
      <w:r>
        <w:t xml:space="preserve">Executive Summary: This case study explores the complex and dynamic role of an Education Administrator within the unique socio-economic and technological landscape of Bangalore, India. It analyzes how administrative leadership acts as the critical nexus between global educational standards and local regulatory frameworks, driving innovation while maintaining accessibility.</w:t>
      </w:r>
    </w:p>
    <w:bookmarkStart w:id="20" w:name="introduction-the-bangalore-context"/>
    <w:p>
      <w:pPr>
        <w:pStyle w:val="Heading2"/>
      </w:pPr>
      <w:r>
        <w:t xml:space="preserve">1. Introduction: The Bangalore Context</w:t>
      </w:r>
    </w:p>
    <w:p>
      <w:pPr>
        <w:pStyle w:val="FirstParagraph"/>
      </w:pPr>
      <w:r>
        <w:t xml:space="preserve">Bangalore, widely recognized as the Silicon Valley of India, presents a unique microcosm for educational analysis. It is a city where rapid technological advancement collides with deep-rooted cultural traditions and stark socioeconomic disparities. In this bustling metropolis of Karnataka, an</w:t>
      </w:r>
      <w:r>
        <w:t xml:space="preserve"> </w:t>
      </w:r>
      <w:r>
        <w:rPr>
          <w:bCs/>
          <w:b/>
        </w:rPr>
        <w:t xml:space="preserve">Education Administrator</w:t>
      </w:r>
      <w:r>
        <w:t xml:space="preserve"> </w:t>
      </w:r>
      <w:r>
        <w:t xml:space="preserve">does not merely manage budgets or schedule staff; they serve as the chief architect of opportunity in a city defined by its "IT Corridor" yet grappling with infrastructural strain.</w:t>
      </w:r>
    </w:p>
    <w:p>
      <w:pPr>
        <w:pStyle w:val="BodyText"/>
      </w:pPr>
      <w:r>
        <w:t xml:space="preserve">The primary objective of this case study is to examine how administrative leadership in Bangalore navigates the dual pressures of maintaining academic excellence and ensuring inclusive access. For any institution operating within</w:t>
      </w:r>
      <w:r>
        <w:t xml:space="preserve"> </w:t>
      </w:r>
      <w:r>
        <w:rPr>
          <w:bCs/>
          <w:b/>
        </w:rPr>
        <w:t xml:space="preserve">India Bangalore</w:t>
      </w:r>
      <w:r>
        <w:t xml:space="preserve">, the administrator must possess a hybrid skill set: part corporate strategist, part social worker, and part policy expert.</w:t>
      </w:r>
    </w:p>
    <w:bookmarkEnd w:id="20"/>
    <w:bookmarkStart w:id="22" w:name="profile-of-the-case-institution"/>
    <w:p>
      <w:pPr>
        <w:pStyle w:val="Heading2"/>
      </w:pPr>
      <w:r>
        <w:t xml:space="preserve">2. Profile of the Case Institution</w:t>
      </w:r>
    </w:p>
    <w:p>
      <w:pPr>
        <w:pStyle w:val="FirstParagraph"/>
      </w:pPr>
      <w:r>
        <w:t xml:space="preserve">The subject of this study is "Nova Heights International Academy," a mid-tier private school located in the Whitefield district of Bangalore. The institution caters to approximately 1,500 students from diverse backgrounds, ranging from children of multinational IT executives to daily wage earners working in the tech support industry. This demographic diversity makes it an ideal candidate for analyzing administrative efficacy.</w:t>
      </w:r>
    </w:p>
    <w:bookmarkStart w:id="21" w:name="operational-challenges-faced"/>
    <w:p>
      <w:pPr>
        <w:pStyle w:val="Heading3"/>
      </w:pPr>
      <w:r>
        <w:t xml:space="preserve">2.1 Operational Challenges Faced</w:t>
      </w:r>
    </w:p>
    <w:p>
      <w:pPr>
        <w:numPr>
          <w:ilvl w:val="0"/>
          <w:numId w:val="1001"/>
        </w:numPr>
        <w:pStyle w:val="Compact"/>
      </w:pPr>
      <w:r>
        <w:rPr>
          <w:bCs/>
          <w:b/>
        </w:rPr>
        <w:t xml:space="preserve">Digital Divide:</w:t>
      </w:r>
      <w:r>
        <w:t xml:space="preserve"> </w:t>
      </w:r>
      <w:r>
        <w:t xml:space="preserve">While high-income students had home internet access, many low-income students relied solely on school facilities for digital learning.</w:t>
      </w:r>
    </w:p>
    <w:p>
      <w:pPr>
        <w:numPr>
          <w:ilvl w:val="0"/>
          <w:numId w:val="1001"/>
        </w:numPr>
        <w:pStyle w:val="Compact"/>
      </w:pPr>
      <w:r>
        <w:rPr>
          <w:bCs/>
          <w:b/>
        </w:rPr>
        <w:t xml:space="preserve">Traffic and Logistics:</w:t>
      </w:r>
      <w:r>
        <w:t xml:space="preserve"> </w:t>
      </w:r>
      <w:r>
        <w:t xml:space="preserve">Bangalore’s notorious traffic congestion affects teacher retention and student punctuality, requiring complex logistical planning by administration.</w:t>
      </w:r>
    </w:p>
    <w:p>
      <w:pPr>
        <w:numPr>
          <w:ilvl w:val="0"/>
          <w:numId w:val="1001"/>
        </w:numPr>
        <w:pStyle w:val="Compact"/>
      </w:pPr>
      <w:r>
        <w:rPr>
          <w:bCs/>
          <w:b/>
        </w:rPr>
        <w:t xml:space="preserve">Federal Compliance:</w:t>
      </w:r>
      <w:r>
        <w:t xml:space="preserve"> </w:t>
      </w:r>
      <w:r>
        <w:t xml:space="preserve">Navigating the transition from state-level board examinations to the National Education Policy (NEP) 2020 mandates requires significant administrative agility.</w:t>
      </w:r>
    </w:p>
    <w:bookmarkEnd w:id="21"/>
    <w:bookmarkEnd w:id="22"/>
    <w:bookmarkStart w:id="26" w:name="the-role-of-the-education-administrator"/>
    <w:p>
      <w:pPr>
        <w:pStyle w:val="Heading2"/>
      </w:pPr>
      <w:r>
        <w:t xml:space="preserve">3. The Role of the Education Administrator</w:t>
      </w:r>
    </w:p>
    <w:p>
      <w:pPr>
        <w:pStyle w:val="FirstParagraph"/>
      </w:pPr>
      <w:r>
        <w:t xml:space="preserve">In this context, the role of an</w:t>
      </w:r>
      <w:r>
        <w:t xml:space="preserve"> </w:t>
      </w:r>
      <w:r>
        <w:rPr>
          <w:bCs/>
          <w:b/>
        </w:rPr>
        <w:t xml:space="preserve">Education Administrator</w:t>
      </w:r>
      <w:r>
        <w:t xml:space="preserve">, specifically the Principal and Operations Director, evolved beyond traditional management. They became change managers tasked with implementing a holistic transformation strategy.</w:t>
      </w:r>
    </w:p>
    <w:bookmarkStart w:id="23" w:name="X6a82f2247abfafd68c7ff01af9abba2e4bd0107"/>
    <w:p>
      <w:pPr>
        <w:pStyle w:val="Heading3"/>
      </w:pPr>
      <w:r>
        <w:t xml:space="preserve">Strategic Pillar 1: Digital Equity Infrastructure</w:t>
      </w:r>
    </w:p>
    <w:p>
      <w:pPr>
        <w:pStyle w:val="FirstParagraph"/>
      </w:pPr>
      <w:r>
        <w:t xml:space="preserve">The administrator initiated a "Device for All" program. Instead of relying on parents to purchase tablets, the administration leveraged government grants and corporate social responsibility (CSR) funds from Bangalore-based tech giants like Infosys and Wipro. This required sophisticated negotiation skills and transparent financial reporting—a key administrative competency.</w:t>
      </w:r>
    </w:p>
    <w:bookmarkEnd w:id="23"/>
    <w:bookmarkStart w:id="24" w:name="strategic-pillar-2-community-integration"/>
    <w:p>
      <w:pPr>
        <w:pStyle w:val="Heading3"/>
      </w:pPr>
      <w:r>
        <w:t xml:space="preserve">Strategic Pillar 2: Community Integration</w:t>
      </w:r>
    </w:p>
    <w:p>
      <w:pPr>
        <w:pStyle w:val="FirstParagraph"/>
      </w:pPr>
      <w:r>
        <w:t xml:space="preserve">Bangalore is a migrant-heavy city. The administrator recognized that many students were new to the Kannada-speaking environment. Administrative teams were restructured to include language support specialists and cultural integration coordinators, ensuring that the curriculum was not just academically rigorous but socially inclusive.</w:t>
      </w:r>
    </w:p>
    <w:bookmarkEnd w:id="24"/>
    <w:bookmarkStart w:id="25" w:name="strategic-pillar-3-regulatory-agility"/>
    <w:p>
      <w:pPr>
        <w:pStyle w:val="Heading3"/>
      </w:pPr>
      <w:r>
        <w:t xml:space="preserve">Strategic Pillar 3: Regulatory Agility</w:t>
      </w:r>
    </w:p>
    <w:p>
      <w:pPr>
        <w:pStyle w:val="FirstParagraph"/>
      </w:pPr>
      <w:r>
        <w:t xml:space="preserve">The implementation of NEP 2020 in Karnataka required a complete overhaul of assessment methodologies. The administrator led workshops for faculty, shifting the focus from rote memorization to competency-based learning. This administrative oversight ensured that the institution remained compliant with state education departments while adopting global best practices.</w:t>
      </w:r>
    </w:p>
    <w:bookmarkEnd w:id="25"/>
    <w:bookmarkEnd w:id="26"/>
    <w:bookmarkStart w:id="27" w:name="implementation-strategy"/>
    <w:p>
      <w:pPr>
        <w:pStyle w:val="Heading2"/>
      </w:pPr>
      <w:r>
        <w:t xml:space="preserve">4. Implementation Strategy</w:t>
      </w:r>
    </w:p>
    <w:p>
      <w:pPr>
        <w:pStyle w:val="FirstParagraph"/>
      </w:pPr>
      <w:r>
        <w:t xml:space="preserve">The execution phase in India Bangalore required a multi-layered approach:</w:t>
      </w:r>
    </w:p>
    <w:p>
      <w:pPr>
        <w:numPr>
          <w:ilvl w:val="0"/>
          <w:numId w:val="1002"/>
        </w:numPr>
        <w:pStyle w:val="Compact"/>
      </w:pPr>
      <w:r>
        <w:rPr>
          <w:bCs/>
          <w:b/>
        </w:rPr>
        <w:t xml:space="preserve">Data-Driven Decision Making:</w:t>
      </w:r>
      <w:r>
        <w:br/>
      </w:r>
      <w:r>
        <w:t xml:space="preserve">The administration implemented an ERP (Enterprise Resource Planning) system tailored for Indian educational institutions. This allowed real-time tracking of student attendance, fee compliance, and academic performance across multiple campuses in Bangalore.</w:t>
      </w:r>
    </w:p>
    <w:p>
      <w:pPr>
        <w:numPr>
          <w:ilvl w:val="0"/>
          <w:numId w:val="1002"/>
        </w:numPr>
        <w:pStyle w:val="Compact"/>
      </w:pPr>
      <w:r>
        <w:rPr>
          <w:bCs/>
          <w:b/>
        </w:rPr>
        <w:t xml:space="preserve">Stakeholder Engagement:</w:t>
      </w:r>
      <w:r>
        <w:br/>
      </w:r>
      <w:r>
        <w:t xml:space="preserve">Bangalore’s parent community is highly informed due to the city's tech-savvy population. The administrator held monthly "Town Hall" meetings via digital platforms to discuss curriculum changes, financial audits, and infrastructure upgrades. This transparency built trust and reduced resistance to change.</w:t>
      </w:r>
    </w:p>
    <w:p>
      <w:pPr>
        <w:numPr>
          <w:ilvl w:val="0"/>
          <w:numId w:val="1002"/>
        </w:numPr>
        <w:pStyle w:val="Compact"/>
      </w:pPr>
      <w:r>
        <w:rPr>
          <w:bCs/>
          <w:b/>
        </w:rPr>
        <w:t xml:space="preserve">Talent Acquisition and Retention:</w:t>
      </w:r>
      <w:r>
        <w:br/>
      </w:r>
      <w:r>
        <w:t xml:space="preserve">To combat high attrition rates due to traffic issues, the administration introduced hybrid work policies for non-teaching staff and flexible hours for teachers. Additionally, they partnered with local teacher training colleges in Bangalore to create a pipeline of young, energetic educators.</w:t>
      </w:r>
    </w:p>
    <w:bookmarkEnd w:id="27"/>
    <w:bookmarkStart w:id="28" w:name="outcomes-and-impact-analysis"/>
    <w:p>
      <w:pPr>
        <w:pStyle w:val="Heading2"/>
      </w:pPr>
      <w:r>
        <w:t xml:space="preserve">5. Outcomes and Impact Analysis</w:t>
      </w:r>
    </w:p>
    <w:p>
      <w:pPr>
        <w:pStyle w:val="FirstParagraph"/>
      </w:pPr>
      <w:r>
        <w:t xml:space="preserve">After two years of strategic administrative intervention, the outcomes were significant:</w:t>
      </w:r>
    </w:p>
    <w:p>
      <w:pPr>
        <w:numPr>
          <w:ilvl w:val="0"/>
          <w:numId w:val="1003"/>
        </w:numPr>
        <w:pStyle w:val="Compact"/>
      </w:pPr>
      <w:r>
        <w:rPr>
          <w:bCs/>
          <w:b/>
        </w:rPr>
        <w:t xml:space="preserve">Academic Performance:</w:t>
      </w:r>
      <w:r>
        <w:br/>
      </w:r>
      <w:r>
        <w:t xml:space="preserve">The pass rate in board examinations increased by 15%, with a notable improvement in STEM subjects.</w:t>
      </w:r>
    </w:p>
    <w:p>
      <w:pPr>
        <w:numPr>
          <w:ilvl w:val="0"/>
          <w:numId w:val="1003"/>
        </w:numPr>
        <w:pStyle w:val="Compact"/>
      </w:pPr>
      <w:r>
        <w:rPr>
          <w:bCs/>
          <w:b/>
        </w:rPr>
        <w:t xml:space="preserve">Digital Inclusion:</w:t>
      </w:r>
      <w:r>
        <w:br/>
      </w:r>
      <w:r>
        <w:t xml:space="preserve">85% of students from economically weaker sections now had consistent access to digital learning tools, effectively closing the homework gap.</w:t>
      </w:r>
    </w:p>
    <w:p>
      <w:pPr>
        <w:numPr>
          <w:ilvl w:val="0"/>
          <w:numId w:val="1003"/>
        </w:numPr>
        <w:pStyle w:val="Compact"/>
      </w:pPr>
      <w:r>
        <w:rPr>
          <w:bCs/>
          <w:b/>
        </w:rPr>
        <w:t xml:space="preserve">Satisfaction Metrics:</w:t>
      </w:r>
      <w:r>
        <w:br/>
      </w:r>
      <w:r>
        <w:t xml:space="preserve">Parent satisfaction scores rose by 20%, driven by the transparency and communication strategies implemented by the administration.</w:t>
      </w:r>
    </w:p>
    <w:p>
      <w:pPr>
        <w:numPr>
          <w:ilvl w:val="0"/>
          <w:numId w:val="1003"/>
        </w:numPr>
        <w:pStyle w:val="Compact"/>
      </w:pPr>
      <w:r>
        <w:rPr>
          <w:bCs/>
          <w:b/>
        </w:rPr>
        <w:t xml:space="preserve">Tenant Retention:</w:t>
      </w:r>
      <w:r>
        <w:br/>
      </w:r>
      <w:r>
        <w:t xml:space="preserve">Teacher turnover decreased from 25% to 10% annually, attributing this success to improved work-life balance policies managed by HR administration.</w:t>
      </w:r>
    </w:p>
    <w:bookmarkEnd w:id="28"/>
    <w:bookmarkStart w:id="29" w:name="challenges-and-lessons-learned"/>
    <w:p>
      <w:pPr>
        <w:pStyle w:val="Heading2"/>
      </w:pPr>
      <w:r>
        <w:t xml:space="preserve">6. Challenges and Lessons Learned</w:t>
      </w:r>
    </w:p>
    <w:p>
      <w:pPr>
        <w:pStyle w:val="FirstParagraph"/>
      </w:pPr>
      <w:r>
        <w:t xml:space="preserve">The case study of Bangalore also highlights persistent challenges. Bureaucratic delays in government approvals for new infrastructure projects remain a bottleneck. Furthermore, the high cost of living in India Bangalore pressures both staff and students, requiring administrators to frequently seek external funding or subsidies.</w:t>
      </w:r>
    </w:p>
    <w:p>
      <w:pPr>
        <w:pStyle w:val="BodyText"/>
      </w:pPr>
      <w:r>
        <w:t xml:space="preserve">A critical lesson learned is that an</w:t>
      </w:r>
      <w:r>
        <w:t xml:space="preserve"> </w:t>
      </w:r>
      <w:r>
        <w:rPr>
          <w:bCs/>
          <w:b/>
        </w:rPr>
        <w:t xml:space="preserve">Education Administrator</w:t>
      </w:r>
      <w:r>
        <w:t xml:space="preserve"> </w:t>
      </w:r>
      <w:r>
        <w:t xml:space="preserve">cannot operate in a vacuum. Success in this region depends heavily on building alliances with local government bodies, tech corporations for CSR partnerships, and community leaders. The administrator must be a diplomat as much as a manager.</w:t>
      </w:r>
    </w:p>
    <w:bookmarkEnd w:id="29"/>
    <w:bookmarkStart w:id="30" w:name="future-recommendations"/>
    <w:p>
      <w:pPr>
        <w:pStyle w:val="Heading2"/>
      </w:pPr>
      <w:r>
        <w:t xml:space="preserve">7. Future Recommendations</w:t>
      </w:r>
    </w:p>
    <w:p>
      <w:pPr>
        <w:pStyle w:val="FirstParagraph"/>
      </w:pPr>
      <w:r>
        <w:t xml:space="preserve">To sustain momentum, the administration recommends the following:</w:t>
      </w:r>
    </w:p>
    <w:p>
      <w:pPr>
        <w:numPr>
          <w:ilvl w:val="0"/>
          <w:numId w:val="1004"/>
        </w:numPr>
        <w:pStyle w:val="Compact"/>
      </w:pPr>
      <w:r>
        <w:rPr>
          <w:bCs/>
          <w:b/>
        </w:rPr>
        <w:t xml:space="preserve">Sustainability Integration:</w:t>
      </w:r>
      <w:r>
        <w:br/>
      </w:r>
      <w:r>
        <w:t xml:space="preserve">Bangalore is facing environmental challenges. Administrators should lead by example, implementing green campus initiatives that serve as practical learning labs for students.</w:t>
      </w:r>
    </w:p>
    <w:p>
      <w:pPr>
        <w:numPr>
          <w:ilvl w:val="0"/>
          <w:numId w:val="1004"/>
        </w:numPr>
        <w:pStyle w:val="Compact"/>
      </w:pPr>
      <w:r>
        <w:rPr>
          <w:bCs/>
          <w:b/>
        </w:rPr>
        <w:t xml:space="preserve">Lifelong Learning for Staff:</w:t>
      </w:r>
      <w:r>
        <w:br/>
      </w:r>
      <w:r>
        <w:t xml:space="preserve">Continuous professional development programs should be funded and mandated to keep pace with AI and EdTech advancements.</w:t>
      </w:r>
    </w:p>
    <w:p>
      <w:pPr>
        <w:numPr>
          <w:ilvl w:val="0"/>
          <w:numId w:val="1004"/>
        </w:numPr>
        <w:pStyle w:val="Compact"/>
      </w:pPr>
      <w:r>
        <w:rPr>
          <w:bCs/>
          <w:b/>
        </w:rPr>
        <w:t xml:space="preserve">Civic Engagement:</w:t>
      </w:r>
      <w:r>
        <w:br/>
      </w:r>
      <w:r>
        <w:t xml:space="preserve">Schools in India Bangalore should take a more active role in local civic issues, such as traffic safety around schools, partnering with the Bruhat Bengaluru Mahanagara Palike (BBMP) for better infrastructure.</w:t>
      </w:r>
    </w:p>
    <w:bookmarkEnd w:id="30"/>
    <w:bookmarkStart w:id="31" w:name="conclusion"/>
    <w:p>
      <w:pPr>
        <w:pStyle w:val="Heading2"/>
      </w:pPr>
      <w:r>
        <w:t xml:space="preserve">8. Conclusion</w:t>
      </w:r>
    </w:p>
    <w:p>
      <w:pPr>
        <w:pStyle w:val="FirstParagraph"/>
      </w:pPr>
      <w:r>
        <w:t xml:space="preserve">The case of Nova Heights International Academy illustrates that an effective Education Administrator is the linchpin of institutional success in a complex urban environment like Bangalore, India. By balancing financial prudence with social responsibility and technological innovation, administrators can transform educational institutions into beacons of equity and excellence.</w:t>
      </w:r>
    </w:p>
    <w:p>
      <w:pPr>
        <w:pStyle w:val="BodyText"/>
      </w:pPr>
      <w:r>
        <w:t xml:space="preserve">In the context of</w:t>
      </w:r>
      <w:r>
        <w:t xml:space="preserve"> </w:t>
      </w:r>
      <w:r>
        <w:rPr>
          <w:bCs/>
          <w:b/>
        </w:rPr>
        <w:t xml:space="preserve">India Bangalore</w:t>
      </w:r>
      <w:r>
        <w:t xml:space="preserve">, where tradition meets technology, the administrator’s ability to navigate regulatory landscapes, leverage corporate partnerships, and empathize with a diverse student body is not just beneficial—it is essential. This case study serves as a blueprint for other institutions in rapidly urbanizing Indian cities, demonstrating that strong administrative leadership can bridge divides and create inclusive educational ecosystems.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Transformative Role of an Education Administrator in India Bangalore</dc:title>
  <dc:creator/>
  <dc:language>en</dc:language>
  <cp:keywords/>
  <dcterms:created xsi:type="dcterms:W3CDTF">2026-07-29T17:28:35Z</dcterms:created>
  <dcterms:modified xsi:type="dcterms:W3CDTF">2026-07-29T17:28:35Z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