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Leadership</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Indonesia</w:t>
      </w:r>
      <w:r>
        <w:t xml:space="preserve"> </w:t>
      </w:r>
      <w:r>
        <w:t xml:space="preserve">Jakarta</w:t>
      </w:r>
    </w:p>
    <w:bookmarkStart w:id="28" w:name="X0517ca1af5ac3a8225f1f15361a0cc6a5d623ba"/>
    <w:p>
      <w:pPr>
        <w:pStyle w:val="Heading1"/>
      </w:pPr>
      <w:r>
        <w:t xml:space="preserve">Case Study: The Evolving Role of the Education Administrator in Indonesia Jakarta</w:t>
      </w:r>
    </w:p>
    <w:p>
      <w:pPr>
        <w:pStyle w:val="FirstParagraph"/>
      </w:pPr>
      <w:r>
        <w:rPr>
          <w:bCs/>
          <w:b/>
        </w:rPr>
        <w:t xml:space="preserve">Date:</w:t>
      </w:r>
      <w:r>
        <w:t xml:space="preserve"> </w:t>
      </w:r>
      <w:r>
        <w:t xml:space="preserve">October 26, 2023</w:t>
      </w:r>
      <w:r>
        <w:br/>
      </w:r>
    </w:p>
    <w:p>
      <w:pPr>
        <w:pStyle w:val="BodyText"/>
      </w:pPr>
      <w:r>
        <w:rPr>
          <w:iCs/>
          <w:i/>
        </w:rPr>
        <w:t xml:space="preserve">Navigating Urban Complexity, Digital Transformation, and Equity in Southeast Asia’s Capital</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Educational Administrator</w:t>
      </w:r>
      <w:r>
        <w:t xml:space="preserve"> </w:t>
      </w:r>
      <w:r>
        <w:t xml:space="preserve">within the unique socio-economic landscape of</w:t>
      </w:r>
      <w:r>
        <w:t xml:space="preserve"> </w:t>
      </w:r>
      <w:r>
        <w:rPr>
          <w:bCs/>
          <w:b/>
        </w:rPr>
        <w:t xml:space="preserve">Indonesia Jakarta</w:t>
      </w:r>
      <w:r>
        <w:t xml:space="preserve">. As Indonesia’s capital serves as a bustling metropolis with a population exceeding ten million, its educational system faces distinct challenges ranging from rapid urbanization and infrastructure deficits to digital inequality. The primary objective of this document is to analyze how modern education administrators in</w:t>
      </w:r>
      <w:r>
        <w:t xml:space="preserve"> </w:t>
      </w:r>
      <w:r>
        <w:rPr>
          <w:bCs/>
          <w:b/>
        </w:rPr>
        <w:t xml:space="preserve">Indonesia Jakarta</w:t>
      </w:r>
      <w:r>
        <w:t xml:space="preserve"> </w:t>
      </w:r>
      <w:r>
        <w:t xml:space="preserve">must adapt traditional management skills to address these complex variables. By focusing on strategic planning, stakeholder engagement, and technology integration, this case study highlights the multifaceted responsibilities required to maintain educational excellence in one of Asia’s most dynamic cities.</w:t>
      </w:r>
    </w:p>
    <w:bookmarkEnd w:id="20"/>
    <w:bookmarkStart w:id="21" w:name="Xa9e6a73f27b0670601f562acd5f3ec29c92ef94"/>
    <w:p>
      <w:pPr>
        <w:pStyle w:val="Heading2"/>
      </w:pPr>
      <w:r>
        <w:t xml:space="preserve">2. Contextual Background: The</w:t>
      </w:r>
      <w:r>
        <w:t xml:space="preserve"> </w:t>
      </w:r>
      <w:r>
        <w:rPr>
          <w:bCs/>
          <w:b/>
        </w:rPr>
        <w:t xml:space="preserve">Indonesia Jakarta</w:t>
      </w:r>
      <w:r>
        <w:t xml:space="preserve"> </w:t>
      </w:r>
      <w:r>
        <w:t xml:space="preserve">Landscape</w:t>
      </w:r>
    </w:p>
    <w:p>
      <w:pPr>
        <w:pStyle w:val="FirstParagraph"/>
      </w:pPr>
      <w:r>
        <w:rPr>
          <w:bCs/>
          <w:b/>
        </w:rPr>
        <w:t xml:space="preserve">Indonesia Jakarta</w:t>
      </w:r>
      <w:r>
        <w:t xml:space="preserve">, often referred to simply as "Jabodetabek" when including its metropolitan area, is the economic and cultural heart of Indonesia. However, this status brings significant pressure on public services, particularly education. The city is characterized by a sharp disparity between wealthy enclaves and densely populated informal settlements (kampungs). This spatial inequality directly impacts school access, resource allocation, and student outcomes.</w:t>
      </w:r>
    </w:p>
    <w:p>
      <w:pPr>
        <w:pStyle w:val="BodyText"/>
      </w:pPr>
      <w:r>
        <w:t xml:space="preserve">In recent years the provincial government of</w:t>
      </w:r>
      <w:r>
        <w:t xml:space="preserve"> </w:t>
      </w:r>
      <w:r>
        <w:rPr>
          <w:bCs/>
          <w:b/>
        </w:rPr>
        <w:t xml:space="preserve">Indonesia Jakarta</w:t>
      </w:r>
      <w:r>
        <w:t xml:space="preserve"> </w:t>
      </w:r>
      <w:r>
        <w:t xml:space="preserve">has implemented several reforms aimed at decentralizing educational management while maintaining centralized quality control. The</w:t>
      </w:r>
      <w:r>
        <w:t xml:space="preserve"> </w:t>
      </w:r>
      <w:r>
        <w:rPr>
          <w:bCs/>
          <w:b/>
        </w:rPr>
        <w:t xml:space="preserve">Educational Administrator</w:t>
      </w:r>
      <w:r>
        <w:t xml:space="preserve">, whether operating in a public elementary school or a private international institution, must now navigate a regulatory environment that emphasizes the "Merdeka Belajar" (Freedom to Learn) curriculum introduced by the Ministry of Education. This policy shift requires administrators to be less focused on rigid compliance and more on fostering creative, student-centered learning environments.</w:t>
      </w:r>
    </w:p>
    <w:bookmarkEnd w:id="21"/>
    <w:bookmarkStart w:id="24" w:name="X687a544a91c1d74800edd85bd133aef5774065e"/>
    <w:p>
      <w:pPr>
        <w:pStyle w:val="Heading2"/>
      </w:pPr>
      <w:r>
        <w:t xml:space="preserve">3. Profile: The Modern</w:t>
      </w:r>
      <w:r>
        <w:t xml:space="preserve"> </w:t>
      </w:r>
      <w:r>
        <w:rPr>
          <w:bCs/>
          <w:b/>
        </w:rPr>
        <w:t xml:space="preserve">Educational Administrator</w:t>
      </w:r>
    </w:p>
    <w:p>
      <w:pPr>
        <w:pStyle w:val="FirstParagraph"/>
      </w:pPr>
      <w:r>
        <w:t xml:space="preserve">In the context of</w:t>
      </w:r>
      <w:r>
        <w:t xml:space="preserve"> </w:t>
      </w:r>
      <w:r>
        <w:rPr>
          <w:bCs/>
          <w:b/>
        </w:rPr>
        <w:t xml:space="preserve">Indonesia Jakarta</w:t>
      </w:r>
      <w:r>
        <w:t xml:space="preserve">, the role of the</w:t>
      </w:r>
      <w:r>
        <w:t xml:space="preserve"> </w:t>
      </w:r>
      <w:r>
        <w:rPr>
          <w:bCs/>
          <w:b/>
        </w:rPr>
        <w:t xml:space="preserve">Educational AdministratorIndonesia Jakarta</w:t>
      </w:r>
    </w:p>
    <w:p>
      <w:pPr>
        <w:numPr>
          <w:ilvl w:val="0"/>
          <w:numId w:val="1001"/>
        </w:numPr>
        <w:pStyle w:val="Compact"/>
      </w:pPr>
      <w:r>
        <w:rPr>
          <w:bCs/>
          <w:b/>
        </w:rPr>
        <w:t xml:space="preserve">Crisis Management:</w:t>
      </w:r>
      <w:r>
        <w:t xml:space="preserve"> </w:t>
      </w:r>
      <w:r>
        <w:t xml:space="preserve">Given the city's vulnerability to flooding and traffic congestion, administrators must ensure business continuity during natural disasters or logistical disruptions.</w:t>
      </w:r>
    </w:p>
    <w:p>
      <w:pPr>
        <w:numPr>
          <w:ilvl w:val="0"/>
          <w:numId w:val="1001"/>
        </w:numPr>
        <w:pStyle w:val="Compact"/>
      </w:pPr>
      <w:r>
        <w:rPr>
          <w:bCs/>
          <w:b/>
        </w:rPr>
        <w:t xml:space="preserve">Digital Literacy Leadership:</w:t>
      </w:r>
      <w:r>
        <w:t xml:space="preserve">The push for smart city initiatives in Jakarta has accelerated the adoption of Learning Management Systems (LMS). Administrators are responsible for overseeing this digital transition.</w:t>
      </w:r>
    </w:p>
    <w:p>
      <w:pPr>
        <w:numPr>
          <w:ilvl w:val="0"/>
          <w:numId w:val="1001"/>
        </w:numPr>
        <w:pStyle w:val="Compact"/>
      </w:pPr>
      <w:r>
        <w:rPr>
          <w:bCs/>
          <w:b/>
        </w:rPr>
        <w:t xml:space="preserve">Cultural Sensitivity:</w:t>
      </w:r>
      <w:r>
        <w:t xml:space="preserve"> </w:t>
      </w:r>
      <w:r>
        <w:t xml:space="preserve">Managing a diverse staff and student body from various ethnic and socio-economic backgrounds within</w:t>
      </w:r>
      <w:r>
        <w:t xml:space="preserve"> </w:t>
      </w:r>
      <w:r>
        <w:rPr>
          <w:bCs/>
          <w:b/>
        </w:rPr>
        <w:t xml:space="preserve">Indonesia Jakarta</w:t>
      </w:r>
    </w:p>
    <w:p>
      <w:pPr>
        <w:numPr>
          <w:ilvl w:val="0"/>
          <w:numId w:val="1001"/>
        </w:numPr>
        <w:pStyle w:val="Compact"/>
      </w:pPr>
      <w:r>
        <w:rPr>
          <w:bCs/>
          <w:b/>
        </w:rPr>
        <w:t xml:space="preserve">Fiscal Responsibility:</w:t>
      </w:r>
      <w:r>
        <w:t xml:space="preserve">Navigating limited public budgets while seeking private partnerships to enhance school facilities.</w:t>
      </w:r>
    </w:p>
    <w:p>
      <w:pPr>
        <w:pStyle w:val="FirstParagraph"/>
      </w:pPr>
      <w:r>
        <w:t xml:space="preserve">4. Key Challenges Faced by the Administrator in</w:t>
      </w:r>
    </w:p>
    <w:bookmarkStart w:id="22" w:name="Xe0779e2bb1a6db20808d97b4b3e6de8da696ad0"/>
    <w:p>
      <w:pPr>
        <w:pStyle w:val="Heading3"/>
      </w:pPr>
      <w:r>
        <w:t xml:space="preserve">&lt; strong&gt;The Digital Divide and Infrastructure Gaps</w:t>
      </w:r>
    </w:p>
    <w:p>
      <w:pPr>
        <w:pStyle w:val="FirstParagraph"/>
      </w:pPr>
      <w:r>
        <w:rPr>
          <w:iCs/>
          <w:i/>
        </w:rPr>
        <w:t xml:space="preserve">Description:</w:t>
      </w:r>
      <w:r>
        <w:t xml:space="preserve">A primary challenge for any</w:t>
      </w:r>
      <w:r>
        <w:t xml:space="preserve"> </w:t>
      </w:r>
      <w:r>
        <w:rPr>
          <w:bCs/>
          <w:b/>
        </w:rPr>
        <w:t xml:space="preserve">Educational Administrator</w:t>
      </w:r>
    </w:p>
    <w:p>
      <w:pPr>
        <w:pStyle w:val="BodyText"/>
      </w:pPr>
      <w:r>
        <w:rPr>
          <w:iCs/>
          <w:i/>
        </w:rPr>
        <w:t xml:space="preserve">Impact:</w:t>
      </w:r>
      <w:r>
        <w:t xml:space="preserve">The administrator must develop hybrid learning models that accommodate students with limited digital access at home. This often involves creating offline learning modules and coordinating with local communities to provide safe study spaces, a task that goes beyond traditional academic oversight.</w:t>
      </w:r>
    </w:p>
    <w:bookmarkEnd w:id="22"/>
    <w:bookmarkStart w:id="23" w:name="socio-economic-disparity-and-inclusion"/>
    <w:p>
      <w:pPr>
        <w:pStyle w:val="Heading3"/>
      </w:pPr>
      <w:r>
        <w:rPr>
          <w:bCs/>
          <w:b/>
        </w:rPr>
        <w:t xml:space="preserve">Socio-Economic Disparity and Inclusion</w:t>
      </w:r>
    </w:p>
    <w:p>
      <w:pPr>
        <w:pStyle w:val="FirstParagraph"/>
      </w:pPr>
      <w:r>
        <w:rPr>
          <w:iCs/>
          <w:i/>
        </w:rPr>
        <w:t xml:space="preserve">Description:</w:t>
      </w:r>
      <w:r>
        <w:t xml:space="preserve">The</w:t>
      </w:r>
      <w:r>
        <w:t xml:space="preserve"> </w:t>
      </w:r>
      <w:r>
        <w:rPr>
          <w:bCs/>
          <w:b/>
        </w:rPr>
        <w:t xml:space="preserve">Educational AdministratorIndonesia Jakarta</w:t>
      </w:r>
    </w:p>
    <w:p>
      <w:pPr>
        <w:pStyle w:val="BodyText"/>
      </w:pPr>
      <w:r>
        <w:rPr>
          <w:iCs/>
          <w:i/>
        </w:rPr>
        <w:t xml:space="preserve">Impact:</w:t>
      </w:r>
    </w:p>
    <w:p>
      <w:pPr>
        <w:pStyle w:val="BodyText"/>
      </w:pPr>
      <w:r>
        <w:t xml:space="preserve">Bureaucratic Compliance vs. Operational Agility</w:t>
      </w:r>
    </w:p>
    <w:p>
      <w:pPr>
        <w:pStyle w:val="BodyText"/>
      </w:pPr>
      <w:r>
        <w:rPr>
          <w:iCs/>
          <w:i/>
        </w:rPr>
        <w:t xml:space="preserve">Description:</w:t>
      </w:r>
      <w:r>
        <w:t xml:space="preserve">While the "Merdeka Belajar" policy encourages autonomy,</w:t>
      </w:r>
      <w:r>
        <w:t xml:space="preserve"> </w:t>
      </w:r>
      <w:r>
        <w:rPr>
          <w:bCs/>
          <w:b/>
        </w:rPr>
        <w:t xml:space="preserve">Educational AdministratorsIndonesia Jakarta</w:t>
      </w:r>
    </w:p>
    <w:p>
      <w:pPr>
        <w:pStyle w:val="BodyText"/>
      </w:pPr>
      <w:r>
        <w:rPr>
          <w:iCs/>
          <w:i/>
        </w:rPr>
        <w:t xml:space="preserve">Impact:</w:t>
      </w:r>
    </w:p>
    <w:bookmarkEnd w:id="23"/>
    <w:bookmarkEnd w:id="24"/>
    <w:bookmarkStart w:id="25" w:name="strategic-interventions"/>
    <w:p>
      <w:pPr>
        <w:pStyle w:val="Heading2"/>
      </w:pPr>
      <w:r>
        <w:t xml:space="preserve">5. Strategic Interventions</w:t>
      </w:r>
    </w:p>
    <w:p>
      <w:pPr>
        <w:pStyle w:val="FirstParagraph"/>
      </w:pPr>
      <w:r>
        <w:t xml:space="preserve">To address these challenges, successful</w:t>
      </w:r>
      <w:r>
        <w:t xml:space="preserve"> </w:t>
      </w:r>
      <w:r>
        <w:rPr>
          <w:bCs/>
          <w:b/>
        </w:rPr>
        <w:t xml:space="preserve">Educational Administrators</w:t>
      </w:r>
      <w:r>
        <w:rPr>
          <w:bCs/>
          <w:b/>
        </w:rPr>
        <w:t xml:space="preserve"> </w:t>
      </w:r>
      <w:r>
        <w:rPr>
          <w:iCs/>
          <w:i/>
          <w:bCs/>
          <w:b/>
        </w:rPr>
        <w:t xml:space="preserve">in</w:t>
      </w:r>
      <w:r>
        <w:rPr>
          <w:iCs/>
          <w:i/>
          <w:bCs/>
          <w:b/>
        </w:rPr>
        <w:t xml:space="preserve"> </w:t>
      </w:r>
    </w:p>
    <w:p>
      <w:pPr>
        <w:numPr>
          <w:ilvl w:val="0"/>
          <w:numId w:val="1002"/>
        </w:numPr>
        <w:pStyle w:val="Compact"/>
      </w:pPr>
      <w:r>
        <w:t xml:space="preserve">, this often involves partnering with corporate social responsibility (CSR) programs of large multinational firms based in the city.</w:t>
      </w:r>
    </w:p>
    <w:p>
      <w:pPr>
        <w:numPr>
          <w:ilvl w:val="0"/>
          <w:numId w:val="1002"/>
        </w:numPr>
        <w:pStyle w:val="Compact"/>
      </w:pPr>
      <w:r>
        <w:rPr>
          <w:bCs/>
          <w:b/>
        </w:rPr>
        <w:t xml:space="preserve">Data-Driven Decision Making:</w:t>
      </w:r>
    </w:p>
    <w:p>
      <w:pPr>
        <w:numPr>
          <w:ilvl w:val="0"/>
          <w:numId w:val="1002"/>
        </w:numPr>
        <w:pStyle w:val="Compact"/>
      </w:pPr>
      <w:r>
        <w:t xml:space="preserve">Professional Development for Resilience: Regular workshops focusing on mental health awareness and adaptive teaching methods help educators cope with the high-pressure environment of Jakarta’s education sector.</w:t>
      </w:r>
    </w:p>
    <w:bookmarkEnd w:id="25"/>
    <w:bookmarkStart w:id="26" w:name="outcomes-and-impact"/>
    <w:p>
      <w:pPr>
        <w:pStyle w:val="Heading2"/>
      </w:pPr>
      <w:r>
        <w:t xml:space="preserve">6. Outcomes and Impact</w:t>
      </w:r>
    </w:p>
    <w:p>
      <w:pPr>
        <w:pStyle w:val="FirstParagraph"/>
      </w:pPr>
      <w:r>
        <w:t xml:space="preserve">The implementation of these strategies by forward-thinking</w:t>
      </w:r>
    </w:p>
    <w:p>
      <w:pPr>
        <w:pStyle w:val="BodyText"/>
      </w:pPr>
      <w:r>
        <w:t xml:space="preserve">Educational Administrators</w:t>
      </w:r>
    </w:p>
    <w:p>
      <w:pPr>
        <w:pStyle w:val="BodyText"/>
      </w:pPr>
      <w:r>
        <w:t xml:space="preserve">in</w:t>
      </w:r>
    </w:p>
    <w:p>
      <w:pPr>
        <w:pStyle w:val="BodyText"/>
      </w:pPr>
      <w:r>
        <w:t xml:space="preserve">Indonesia Jakarta</w:t>
      </w:r>
      <w:r>
        <w:t xml:space="preserve"> </w:t>
      </w:r>
      <w:r>
        <w:rPr>
          <w:iCs/>
          <w:i/>
        </w:rPr>
        <w:t xml:space="preserve">continues to grow and modernize.</w:t>
      </w:r>
    </w:p>
    <w:bookmarkEnd w:id="26"/>
    <w:bookmarkStart w:id="27" w:name="conclusion"/>
    <w:p>
      <w:pPr>
        <w:pStyle w:val="Heading2"/>
      </w:pPr>
      <w:r>
        <w:t xml:space="preserve">7. Conclusion</w:t>
      </w:r>
    </w:p>
    <w:p>
      <w:pPr>
        <w:pStyle w:val="FirstParagraph"/>
      </w:pPr>
      <w:r>
        <w:t xml:space="preserve">The case of the</w:t>
      </w:r>
      <w:r>
        <w:t xml:space="preserve"> </w:t>
      </w:r>
      <w:r>
        <w:rPr>
          <w:bCs/>
          <w:b/>
        </w:rPr>
        <w:t xml:space="preserve">Educational Administrator</w:t>
      </w:r>
    </w:p>
    <w:p>
      <w:pPr>
        <w:pStyle w:val="BodyText"/>
      </w:pPr>
      <w:r>
        <w:t xml:space="preserve">As Jakarta faces future challenges related to population growth, climate change resilience, and economic volatility the role of the</w:t>
      </w:r>
    </w:p>
    <w:p>
      <w:pPr>
        <w:pStyle w:val="BodyText"/>
      </w:pPr>
      <w:r>
        <w:t xml:space="preserve">Educational Administrator</w:t>
      </w:r>
    </w:p>
    <w:p>
      <w:pPr>
        <w:pStyle w:val="BodyText"/>
      </w:pPr>
      <w:r>
        <w:t xml:space="preserve">will remain pivotal. Their ability to balance regulatory requirements with innovative practices will determine not only the quality of education in</w:t>
      </w:r>
    </w:p>
    <w:p>
      <w:pPr>
        <w:pStyle w:val="BodyText"/>
      </w:pPr>
      <w:r>
        <w:rPr>
          <w:bCs/>
          <w:b/>
        </w:rPr>
        <w:t xml:space="preserve">Key Takeaway:</w:t>
      </w:r>
      <w:r>
        <w:t xml:space="preserve"> </w:t>
      </w:r>
      <w:r>
        <w:t xml:space="preserve">In the dynamic environment of</w:t>
      </w:r>
    </w:p>
    <w:p>
      <w:pPr>
        <w:pStyle w:val="BodyText"/>
      </w:pPr>
      <w:r>
        <w:t xml:space="preserve">, the success of an educational institution hinges on the versatility of its administration. The modern &lt; strong&gt;Educational Administrator</w:t>
      </w:r>
    </w:p>
    <w:p>
      <w:pPr>
        <w:pStyle w:val="BodyText"/>
      </w:pPr>
      <w:r>
        <w:rPr>
          <w:bCs/>
          <w:b/>
        </w:rPr>
        <w:t xml:space="preserve">Note:</w:t>
      </w:r>
      <w:r>
        <w:t xml:space="preserve"> </w:t>
      </w:r>
      <w:r>
        <w:t xml:space="preserve">This document is written in English as requested. All references to 'Case Study', 'Education Administrator', and 'Indonesia Jakarta' have been integrated to highlight their significance in the regional educational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Leadership of an Education Administrator in Indonesia Jakarta</dc:title>
  <dc:creator/>
  <dc:language>en</dc:language>
  <cp:keywords/>
  <dcterms:created xsi:type="dcterms:W3CDTF">2026-07-29T17:39:17Z</dcterms:created>
  <dcterms:modified xsi:type="dcterms:W3CDTF">2026-07-29T17:39:17Z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