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Educational</w:t>
      </w:r>
      <w:r>
        <w:t xml:space="preserve"> </w:t>
      </w:r>
      <w:r>
        <w:t xml:space="preserve">Leadership</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Middle</w:t>
      </w:r>
      <w:r>
        <w:t xml:space="preserve"> </w:t>
      </w:r>
      <w:r>
        <w:t xml:space="preserve">East</w:t>
      </w:r>
    </w:p>
    <w:bookmarkStart w:id="31" w:name="Xf58f7f9e263e96c8dfd6b238faf8c52cce1cbc7"/>
    <w:p>
      <w:pPr>
        <w:pStyle w:val="Heading1"/>
      </w:pPr>
      <w:r>
        <w:t xml:space="preserve">Innovating Pedagogy in the Startup Nation: A Case Study of an Education Administrator in Israel Tel Aviv</w:t>
      </w:r>
    </w:p>
    <w:p>
      <w:pPr>
        <w:pStyle w:val="FirstParagraph"/>
      </w:pPr>
      <w:r>
        <w:rPr>
          <w:bCs/>
          <w:b/>
        </w:rPr>
        <w:t xml:space="preserve">Date:</w:t>
      </w:r>
      <w:r>
        <w:t xml:space="preserve"> </w:t>
      </w:r>
      <w:r>
        <w:t xml:space="preserve">October 24, 2023</w:t>
      </w:r>
      <w:r>
        <w:br/>
      </w:r>
      <w:r>
        <w:rPr>
          <w:bCs/>
          <w:b/>
        </w:rPr>
        <w:t xml:space="preserve">Subject:</w:t>
      </w:r>
      <w:r>
        <w:t xml:space="preserve">A transformative journey within a public-private partnership school initiative.</w:t>
      </w:r>
    </w:p>
    <w:p>
      <w:pPr>
        <w:pStyle w:val="BodyText"/>
      </w:pPr>
      <w:r>
        <w:rPr>
          <w:iCs/>
          <w:i/>
        </w:rPr>
        <w:t xml:space="preserve">This document serves as a comprehensive case study analyzing the unique challenges and strategic interventions employed by an Education Administrator operating in Israel Tel Aviv. It highlights the intersection of global educational standards with local socio-economic realities.</w:t>
      </w:r>
    </w:p>
    <w:bookmarkStart w:id="20" w:name="executive-summary"/>
    <w:p>
      <w:pPr>
        <w:pStyle w:val="Heading2"/>
      </w:pPr>
      <w:r>
        <w:t xml:space="preserve">1. Executive Summary</w:t>
      </w:r>
    </w:p>
    <w:p>
      <w:pPr>
        <w:pStyle w:val="FirstParagraph"/>
      </w:pPr>
      <w:r>
        <w:t xml:space="preserve">In recent years, the role of an Education Administrator has evolved from a purely bureaucratic function to one of strategic innovation and community integration. This case study focuses on a prominent initiative in Israel Tel Aviv, a city known for its rapid development, high cost of living, and diverse demographic fabric. The primary objective was to revitalize educational outcomes in a mixed-income neighborhood by bridging the gap between traditional state schooling and the innovative tech-driven culture that defines modern Tel Aviv.</w:t>
      </w:r>
    </w:p>
    <w:p>
      <w:pPr>
        <w:pStyle w:val="BodyText"/>
      </w:pPr>
      <w:r>
        <w:t xml:space="preserve">The subject of this study is an Education Administrator tasked with leading a consortium of three public high schools. The challenge was not merely academic but deeply socio-cultural, requiring the administrator to navigate complex stakeholder relationships while implementing a curriculum focused on digital literacy and social entrepreneurship.</w:t>
      </w:r>
    </w:p>
    <w:bookmarkEnd w:id="20"/>
    <w:bookmarkStart w:id="21" w:name="X42bf3d4cd3fcdd1304301166551992924fc0dca"/>
    <w:p>
      <w:pPr>
        <w:pStyle w:val="Heading2"/>
      </w:pPr>
      <w:r>
        <w:t xml:space="preserve">2. Contextual Background: The Landscape of Israel Tel Aviv</w:t>
      </w:r>
    </w:p>
    <w:p>
      <w:pPr>
        <w:pStyle w:val="FirstParagraph"/>
      </w:pPr>
      <w:r>
        <w:t xml:space="preserve">To understand the magnitude of this assignment, one must first appreciate the specific environment of Israel Tel Aviv. As the economic and cultural capital of Israel, Tel Aviv represents a paradox. It is a hub for global innovation, home to thousands of startups and international corporations, yet it faces significant internal inequalities regarding housing prices and access to quality resources.</w:t>
      </w:r>
    </w:p>
    <w:p>
      <w:pPr>
        <w:pStyle w:val="BodyText"/>
      </w:pPr>
      <w:r>
        <w:t xml:space="preserve">The neighborhood selected for this case study is characterized by a blend of long-term residents from Middle Eastern and North African backgrounds, recent immigrants (Olim), and a growing population of young professionals. For the Education Administrator in Israel Tel Aviv, this demographic mix required an approach that was inclusive yet rigorous. The local Ministry of Education guidelines provided the framework, but the implementation had to be hyper-localized to resonate with students who are often exposed to digital media at a higher rate than their peers in other regions.</w:t>
      </w:r>
    </w:p>
    <w:bookmarkEnd w:id="21"/>
    <w:bookmarkStart w:id="22" w:name="problem-statement"/>
    <w:p>
      <w:pPr>
        <w:pStyle w:val="Heading2"/>
      </w:pPr>
      <w:r>
        <w:t xml:space="preserve">3. Problem Statement</w:t>
      </w:r>
    </w:p>
    <w:p>
      <w:pPr>
        <w:pStyle w:val="FirstParagraph"/>
      </w:pPr>
      <w:r>
        <w:t xml:space="preserve">The three schools under the administrator's purview faced several critical issues:</w:t>
      </w:r>
    </w:p>
    <w:p>
      <w:pPr>
        <w:numPr>
          <w:ilvl w:val="0"/>
          <w:numId w:val="1001"/>
        </w:numPr>
        <w:pStyle w:val="Compact"/>
      </w:pPr>
      <w:r>
        <w:rPr>
          <w:bCs/>
          <w:b/>
        </w:rPr>
        <w:t xml:space="preserve">Digital Divide:</w:t>
      </w:r>
      <w:r>
        <w:t xml:space="preserve"> </w:t>
      </w:r>
      <w:r>
        <w:t xml:space="preserve">While students were tech-savvy consumers, they lacked the technical skills required for high-level STEM careers.</w:t>
      </w:r>
    </w:p>
    <w:p>
      <w:pPr>
        <w:numPr>
          <w:ilvl w:val="0"/>
          <w:numId w:val="1001"/>
        </w:numPr>
        <w:pStyle w:val="Compact"/>
      </w:pPr>
      <w:r>
        <w:rPr>
          <w:bCs/>
          <w:b/>
        </w:rPr>
        <w:t xml:space="preserve">Social Cohesion:</w:t>
      </w:r>
      <w:r>
        <w:t xml:space="preserve"> </w:t>
      </w:r>
      <w:r>
        <w:t xml:space="preserve">There was a noticeable segregation within the student body based on socioeconomic lines and cultural backgrounds.</w:t>
      </w:r>
    </w:p>
    <w:p>
      <w:pPr>
        <w:numPr>
          <w:ilvl w:val="0"/>
          <w:numId w:val="1001"/>
        </w:numPr>
        <w:pStyle w:val="Compact"/>
      </w:pPr>
      <w:r>
        <w:rPr>
          <w:bCs/>
          <w:b/>
        </w:rPr>
        <w:t xml:space="preserve">Athority Gap:</w:t>
      </w:r>
      <w:r>
        <w:t xml:space="preserve"> </w:t>
      </w:r>
      <w:r>
        <w:t xml:space="preserve">Traditional disciplinary measures were losing effectiveness, leading to a disengaged student body.</w:t>
      </w:r>
    </w:p>
    <w:p>
      <w:pPr>
        <w:pStyle w:val="FirstParagraph"/>
      </w:pPr>
      <w:r>
        <w:t xml:space="preserve">The Education Administrator identified that a top-down approach would fail. Instead, the strategy needed to empower teachers and involve parents as active partners in the educational ecosystem.</w:t>
      </w:r>
    </w:p>
    <w:bookmarkEnd w:id="22"/>
    <w:bookmarkStart w:id="26" w:name="X4a3aea4f5738195b8a1df89af057acd751d6d30"/>
    <w:p>
      <w:pPr>
        <w:pStyle w:val="Heading2"/>
      </w:pPr>
      <w:r>
        <w:t xml:space="preserve">4. Strategic Intervention: The "Future-Ready Tel Aviv" Initiative</w:t>
      </w:r>
    </w:p>
    <w:p>
      <w:pPr>
        <w:pStyle w:val="FirstParagraph"/>
      </w:pPr>
      <w:r>
        <w:t xml:space="preserve">The core of the solution was an initiative dubbed "Future-Ready Tel Aviv." The Education Administrator designed this program to align with the specific economic opportunities present in Israel Tel Aviv while addressing social deficits.</w:t>
      </w:r>
    </w:p>
    <w:bookmarkStart w:id="23" w:name="Xbfe433e7549b9b792ae154207b5b0a1b22a9598"/>
    <w:p>
      <w:pPr>
        <w:pStyle w:val="Heading3"/>
      </w:pPr>
      <w:r>
        <w:t xml:space="preserve">A. Curriculum Integration and Tech Partnerships</w:t>
      </w:r>
    </w:p>
    <w:p>
      <w:pPr>
        <w:pStyle w:val="FirstParagraph"/>
      </w:pPr>
      <w:r>
        <w:t xml:space="preserve">Leveraging the proximity of major tech hubs, the administrator facilitated partnerships with leading software companies in Tel Aviv. These companies provided mentorship programs where students were not just taught coding, but also exposed to the entrepreneurial mindset that characterizes the Israeli business culture. This direct link between education and local employment prospects increased student engagement significantly.</w:t>
      </w:r>
    </w:p>
    <w:bookmarkEnd w:id="23"/>
    <w:bookmarkStart w:id="24" w:name="b.-community-centric-governance"/>
    <w:p>
      <w:pPr>
        <w:pStyle w:val="Heading3"/>
      </w:pPr>
      <w:r>
        <w:t xml:space="preserve">B. Community-Centric Governance</w:t>
      </w:r>
    </w:p>
    <w:p>
      <w:pPr>
        <w:pStyle w:val="FirstParagraph"/>
      </w:pPr>
      <w:r>
        <w:t xml:space="preserve">A unique feature of this case study is the restructuring of the school board. The Education Administrator in Israel Tel Aviv mandated that 40% of advisory board seats be held by parents and community leaders from underrepresented groups. This ensured that the administration was accountable to the community it served, fostering trust and transparency.</w:t>
      </w:r>
    </w:p>
    <w:bookmarkEnd w:id="24"/>
    <w:bookmarkStart w:id="25" w:name="c.-teacher-empowerment"/>
    <w:p>
      <w:pPr>
        <w:pStyle w:val="Heading3"/>
      </w:pPr>
      <w:r>
        <w:t xml:space="preserve">C. Teacher Empowerment</w:t>
      </w:r>
    </w:p>
    <w:p>
      <w:pPr>
        <w:pStyle w:val="FirstParagraph"/>
      </w:pPr>
      <w:r>
        <w:t xml:space="preserve">Rather than imposing strict mandates, the administrator created "Innovation Labs" within each school. Teachers were given autonomy to redesign lessons around real-world problems affecting Tel Aviv residents, such as traffic congestion or waste management in dense urban environments.</w:t>
      </w:r>
    </w:p>
    <w:bookmarkEnd w:id="25"/>
    <w:bookmarkEnd w:id="26"/>
    <w:bookmarkStart w:id="27" w:name="implementation-challenges"/>
    <w:p>
      <w:pPr>
        <w:pStyle w:val="Heading2"/>
      </w:pPr>
      <w:r>
        <w:t xml:space="preserve">5. Implementation Challenges</w:t>
      </w:r>
    </w:p>
    <w:p>
      <w:pPr>
        <w:pStyle w:val="FirstParagraph"/>
      </w:pPr>
      <w:r>
        <w:t xml:space="preserve">The path was not without obstacles. Initially, there was resistance from senior staff who viewed the new tech-heavy curriculum as a distraction from core academic subjects like Hebrew literature and history. Furthermore, budget constraints meant that equipment upgrades had to be phased carefully.</w:t>
      </w:r>
    </w:p>
    <w:p>
      <w:pPr>
        <w:pStyle w:val="BodyText"/>
      </w:pPr>
      <w:r>
        <w:t xml:space="preserve">The Education Administrator addressed these concerns by framing the new curriculum as complementary rather than competitive. Demonstrations showed how coding logic could enhance problem-solving skills in humanities classes. Additionally, grants from international foundations focused on Jewish education helped offset initial hardware costs.</w:t>
      </w:r>
    </w:p>
    <w:bookmarkEnd w:id="27"/>
    <w:bookmarkStart w:id="28" w:name="outcomes-and-impact-assessment"/>
    <w:p>
      <w:pPr>
        <w:pStyle w:val="Heading2"/>
      </w:pPr>
      <w:r>
        <w:t xml:space="preserve">6. Outcomes and Impact Assessment</w:t>
      </w:r>
    </w:p>
    <w:p>
      <w:pPr>
        <w:pStyle w:val="FirstParagraph"/>
      </w:pPr>
      <w:r>
        <w:t xml:space="preserve">After three years of implementation, the data presented a compelling narrative of success:</w:t>
      </w:r>
    </w:p>
    <w:p>
      <w:pPr>
        <w:numPr>
          <w:ilvl w:val="0"/>
          <w:numId w:val="1002"/>
        </w:numPr>
        <w:pStyle w:val="Compact"/>
      </w:pPr>
      <w:r>
        <w:rPr>
          <w:bCs/>
          <w:b/>
        </w:rPr>
        <w:t xml:space="preserve">School Enrollment:</w:t>
      </w:r>
      <w:r>
        <w:t xml:space="preserve">The number of students applying to these schools increased by 35%, a significant shift in an area previously considered "last choice" for families.</w:t>
      </w:r>
    </w:p>
    <w:p>
      <w:pPr>
        <w:numPr>
          <w:ilvl w:val="0"/>
          <w:numId w:val="1002"/>
        </w:numPr>
        <w:pStyle w:val="Compact"/>
      </w:pPr>
      <w:r>
        <w:rPr>
          <w:bCs/>
          <w:b/>
        </w:rPr>
        <w:t xml:space="preserve">Career Placement:</w:t>
      </w:r>
      <w:r>
        <w:t xml:space="preserve">A notable rise in graduates entering internships at top-tier tech firms in Israel Tel Aviv was recorded.</w:t>
      </w:r>
    </w:p>
    <w:p>
      <w:pPr>
        <w:numPr>
          <w:ilvl w:val="0"/>
          <w:numId w:val="1002"/>
        </w:numPr>
        <w:pStyle w:val="Compact"/>
      </w:pPr>
      <w:r>
        <w:rPr>
          <w:bCs/>
          <w:b/>
        </w:rPr>
        <w:t xml:space="preserve">Social Metrics:</w:t>
      </w:r>
      <w:r>
        <w:t xml:space="preserve">Intra-school conflict rates dropped by 20%, attributed to the collaborative nature of project-based learning which forced diverse groups to work together toward common goals.</w:t>
      </w:r>
    </w:p>
    <w:p>
      <w:pPr>
        <w:pStyle w:val="FirstParagraph"/>
      </w:pPr>
      <w:r>
        <w:t xml:space="preserve">The Education Administrator’s ability to bridge the gap between policy and practice was widely cited as a best practice model within the district.</w:t>
      </w:r>
    </w:p>
    <w:bookmarkEnd w:id="28"/>
    <w:bookmarkStart w:id="29" w:name="Xb0b7b529f90672825ad5eef17f54fcb081ff478"/>
    <w:p>
      <w:pPr>
        <w:pStyle w:val="Heading2"/>
      </w:pPr>
      <w:r>
        <w:t xml:space="preserve">7. Lessons Learned for Educational Leadership</w:t>
      </w:r>
    </w:p>
    <w:p>
      <w:pPr>
        <w:pStyle w:val="FirstParagraph"/>
      </w:pPr>
      <w:r>
        <w:t xml:space="preserve">This case study offers several vital takeaways for any Education Administrator, particularly those operating in dynamic urban centers like Israel Tel Aviv:</w:t>
      </w:r>
    </w:p>
    <w:p>
      <w:pPr>
        <w:numPr>
          <w:ilvl w:val="0"/>
          <w:numId w:val="1003"/>
        </w:numPr>
        <w:pStyle w:val="Compact"/>
      </w:pPr>
      <w:r>
        <w:rPr>
          <w:bCs/>
          <w:b/>
        </w:rPr>
        <w:t xml:space="preserve">Cultural Intelligence is Key:</w:t>
      </w:r>
      <w:r>
        <w:t xml:space="preserve">In a diverse city like Israel Tel Aviv, understanding the nuanced cultural backgrounds of the student body is not optional; it is a prerequisite for effective leadership.</w:t>
      </w:r>
    </w:p>
    <w:p>
      <w:pPr>
        <w:numPr>
          <w:ilvl w:val="0"/>
          <w:numId w:val="1003"/>
        </w:numPr>
        <w:pStyle w:val="Compact"/>
      </w:pPr>
      <w:r>
        <w:rPr>
          <w:bCs/>
          <w:b/>
        </w:rPr>
        <w:t xml:space="preserve">Ecosystem Approach:</w:t>
      </w:r>
      <w:r>
        <w:t xml:space="preserve">An Education Administrator cannot work in isolation. Success depends on leveraging external partners, including local businesses and community organizations.</w:t>
      </w:r>
    </w:p>
    <w:p>
      <w:pPr>
        <w:numPr>
          <w:ilvl w:val="0"/>
          <w:numId w:val="1003"/>
        </w:numPr>
        <w:pStyle w:val="Compact"/>
      </w:pPr>
      <w:r>
        <w:rPr>
          <w:bCs/>
          <w:b/>
        </w:rPr>
        <w:t xml:space="preserve">Flexibility within Frameworks:</w:t>
      </w:r>
      <w:r>
        <w:t xml:space="preserve">Rigid adherence to old methods stifles innovation. The most effective administrators use national standards as a foundation but build flexible structures that allow for local creativity.</w:t>
      </w:r>
    </w:p>
    <w:bookmarkEnd w:id="29"/>
    <w:bookmarkStart w:id="30" w:name="conclusion"/>
    <w:p>
      <w:pPr>
        <w:pStyle w:val="Heading2"/>
      </w:pPr>
      <w:r>
        <w:t xml:space="preserve">8. Conclusion</w:t>
      </w:r>
    </w:p>
    <w:p>
      <w:pPr>
        <w:pStyle w:val="FirstParagraph"/>
      </w:pPr>
      <w:r>
        <w:t xml:space="preserve">The journey of the Education Administrator in Israel Tel Aviv illustrates that educational leadership is inherently about adaptation and vision. By recognizing the unique characteristics of the city—its technological prowess and its social complexity—the administrator was able to transform struggling schools into centers of excellence.</w:t>
      </w:r>
    </w:p>
    <w:p>
      <w:pPr>
        <w:pStyle w:val="BodyText"/>
      </w:pPr>
      <w:r>
        <w:t xml:space="preserve">This case study confirms that when an Education Administrator effectively integrates local context with global educational trends, they can drive significant positive change. The experience in Israel Tel Aviv serves as a powerful reminder that education is not just about transmitting knowledge, but about empowering communities to shape their own futures. As other cities look toward similar models of urban schooling, the strategies employed here provide a robust blueprint for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Educational Leadership in the Heart of the Middle East</dc:title>
  <dc:creator/>
  <dc:language>en</dc:language>
  <cp:keywords/>
  <dcterms:created xsi:type="dcterms:W3CDTF">2026-07-29T06:51:56Z</dcterms:created>
  <dcterms:modified xsi:type="dcterms:W3CDTF">2026-07-29T06:51:56Z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