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Education</w:t>
      </w:r>
      <w:r>
        <w:t xml:space="preserve"> </w:t>
      </w:r>
      <w:r>
        <w:t xml:space="preserve">Administrator</w:t>
      </w:r>
      <w:r>
        <w:t xml:space="preserve"> </w:t>
      </w:r>
      <w:r>
        <w:t xml:space="preserve">in</w:t>
      </w:r>
      <w:r>
        <w:t xml:space="preserve"> </w:t>
      </w:r>
      <w:r>
        <w:t xml:space="preserve">Japan,</w:t>
      </w:r>
      <w:r>
        <w:t xml:space="preserve"> </w:t>
      </w:r>
      <w:r>
        <w:t xml:space="preserve">Kyoto</w:t>
      </w:r>
    </w:p>
    <w:bookmarkStart w:id="33" w:name="Xb841010c6b4ea8821290fbff66c6b3907a4db3f"/>
    <w:p>
      <w:pPr>
        <w:pStyle w:val="Heading1"/>
      </w:pPr>
      <w:r>
        <w:t xml:space="preserve">Case Study: The Evolving Role of the Education Administrator in Japan, Kyoto</w:t>
      </w:r>
    </w:p>
    <w:p>
      <w:pPr>
        <w:pStyle w:val="FirstParagraph"/>
      </w:pPr>
      <w:r>
        <w:rPr>
          <w:bCs/>
          <w:b/>
        </w:rPr>
        <w:t xml:space="preserve">Title:</w:t>
      </w:r>
      <w:r>
        <w:br/>
      </w:r>
      <w:r>
        <w:t xml:space="preserve">Bridging Tradition and Innovation: A Comprehensive Analysis of Educational Leadership in Kyoto.</w:t>
      </w:r>
      <w:r>
        <w:br/>
      </w:r>
      <w:r>
        <w:br/>
      </w:r>
      <w:r>
        <w:rPr>
          <w:bCs/>
          <w:b/>
        </w:rPr>
        <w:t xml:space="preserve">Date:</w:t>
      </w:r>
      <w:r>
        <w:br/>
      </w:r>
      <w:r>
        <w:t xml:space="preserve">October 2023</w:t>
      </w:r>
      <w:r>
        <w:br/>
      </w:r>
      <w:r>
        <w:br/>
      </w:r>
      <w:r>
        <w:rPr>
          <w:bCs/>
          <w:b/>
        </w:rPr>
        <w:t xml:space="preserve">Status:</w:t>
      </w:r>
      <w:r>
        <w:br/>
      </w:r>
      <w:r>
        <w:t xml:space="preserve">Confidential / Internal Review Only</w:t>
      </w:r>
      <w:r>
        <w:br/>
      </w:r>
      <w:r>
        <w:br/>
      </w:r>
      <w:r>
        <w:rPr>
          <w:bCs/>
          <w:b/>
        </w:rPr>
        <w:t xml:space="preserve">Critical Aspects Covered:</w:t>
      </w:r>
      <w:r>
        <w:t xml:space="preserve"> Case Study, Education Administrator, Japan Kyoto.</w:t>
      </w:r>
    </w:p>
    <w:bookmarkStart w:id="20" w:name="executive-summary"/>
    <w:p>
      <w:pPr>
        <w:pStyle w:val="Heading2"/>
      </w:pPr>
      <w:r>
        <w:t xml:space="preserve">1. Executive Summary</w:t>
      </w:r>
    </w:p>
    <w:p>
      <w:pPr>
        <w:pStyle w:val="FirstParagraph"/>
      </w:pPr>
      <w:r>
        <w:t xml:space="preserve">This document presents an in-depth Case Study regarding the multifaceted responsibilities and challenges faced by an Education Administrator operating within the unique cultural and administrative landscape of Japan Kyoto. As a city renowned for its preservation of traditional culture, historical heritage, and rigorous academic institutions, Kyoto presents a distinct environment for educational leadership. The primary objective of this study is to analyze how modern Education Administrator strategies can harmonize with local traditions while addressing contemporary issues such as demographic shifts, technological integration in schools, and the increasing demand for internationalization.</w:t>
      </w:r>
    </w:p>
    <w:p>
      <w:pPr>
        <w:pStyle w:val="BodyText"/>
      </w:pPr>
      <w:r>
        <w:t xml:space="preserve">The findings indicate that success in this region requires more than standard administrative competence; it demands a nuanced understanding of social harmony (</w:t>
      </w:r>
      <w:r>
        <w:rPr>
          <w:iCs/>
          <w:i/>
        </w:rPr>
        <w:t xml:space="preserve">wa</w:t>
      </w:r>
      <w:r>
        <w:t xml:space="preserve">), community engagement, and the delicate balance between preserving Kyoto’s identity as a cultural capital while fostering innovative educational outcomes.</w:t>
      </w:r>
    </w:p>
    <w:bookmarkEnd w:id="20"/>
    <w:bookmarkStart w:id="23" w:name="Xcbec74df38c993fbc983d513c433b8301babd79"/>
    <w:p>
      <w:pPr>
        <w:pStyle w:val="Heading2"/>
      </w:pPr>
      <w:r>
        <w:t xml:space="preserve">2. Contextual Background: The Landscape of Japan Kyoto</w:t>
      </w:r>
    </w:p>
    <w:p>
      <w:pPr>
        <w:pStyle w:val="FirstParagraph"/>
      </w:pPr>
      <w:r>
        <w:t xml:space="preserve">Kyoto Prefecture stands as a critical hub for education in Western Japan. Unlike Tokyo or Osaka, which are driven by rapid urbanization and corporate density, the educational ecosystem in Japan Kyoto is deeply intertwined with community identity and tourism. The prefecture is home to prestigious institutions such as Kyoto University, which ranks among the top national universities globally.</w:t>
      </w:r>
    </w:p>
    <w:bookmarkStart w:id="21" w:name="demographic-challenges"/>
    <w:p>
      <w:pPr>
        <w:pStyle w:val="Heading3"/>
      </w:pPr>
      <w:r>
        <w:t xml:space="preserve">2.1 Demographic Challenges</w:t>
      </w:r>
    </w:p>
    <w:p>
      <w:pPr>
        <w:pStyle w:val="FirstParagraph"/>
      </w:pPr>
      <w:r>
        <w:t xml:space="preserve">A significant aspect of this Case Study involves the demographic reality facing Japan Kyoto. Like much of rural and semi-urban Japan, the prefecture faces a declining birth rate and an aging population. This demographic shift places immense pressure on primary and secondary schools to maintain viable class sizes while ensuring high-quality education for fewer students. The Education Administrator must navigate funding reductions, school consolidation proposals, and the need to repurpose underutilized facilities.</w:t>
      </w:r>
    </w:p>
    <w:bookmarkEnd w:id="21"/>
    <w:bookmarkStart w:id="22" w:name="cultural-significance"/>
    <w:p>
      <w:pPr>
        <w:pStyle w:val="Heading3"/>
      </w:pPr>
      <w:r>
        <w:t xml:space="preserve">2.2 Cultural Significance</w:t>
      </w:r>
    </w:p>
    <w:p>
      <w:pPr>
        <w:pStyle w:val="FirstParagraph"/>
      </w:pPr>
      <w:r>
        <w:t xml:space="preserve">Kyoto is often viewed as the cultural heart of Japan. Schools here are not merely academic centers but community anchors that play a role in preserving local customs, festivals, and etiquette. An Education Administrator must therefore act as a cultural steward, ensuring that educational curricula respect and incorporate these traditions while preparing students for a globalized future.</w:t>
      </w:r>
    </w:p>
    <w:bookmarkEnd w:id="22"/>
    <w:bookmarkEnd w:id="23"/>
    <w:bookmarkStart w:id="25" w:name="X0d3ebc60e77483681d48feba8b264f4fb3c3908"/>
    <w:p>
      <w:pPr>
        <w:pStyle w:val="Heading2"/>
      </w:pPr>
      <w:r>
        <w:t xml:space="preserve">3. Profile of the Modern Education Administrator</w:t>
      </w:r>
    </w:p>
    <w:p>
      <w:pPr>
        <w:pStyle w:val="FirstParagraph"/>
      </w:pPr>
      <w:r>
        <w:t xml:space="preserve">In this Case Study, we define the Education Administrator not just as a bureaucratic manager, but as a strategic leader who bridges policy implementation with grassroots community needs. The role in Japan Kyoto specifically requires high emotional intelligence and strong interpersonal skills due to the collectivist nature of Japanese society.</w:t>
      </w:r>
    </w:p>
    <w:bookmarkStart w:id="24" w:name="core-competencies"/>
    <w:p>
      <w:pPr>
        <w:pStyle w:val="Heading3"/>
      </w:pPr>
      <w:r>
        <w:t xml:space="preserve">3.1 Core Competencies</w:t>
      </w:r>
    </w:p>
    <w:p>
      <w:pPr>
        <w:numPr>
          <w:ilvl w:val="0"/>
          <w:numId w:val="1001"/>
        </w:numPr>
        <w:pStyle w:val="Compact"/>
      </w:pPr>
      <w:r>
        <w:rPr>
          <w:bCs/>
          <w:b/>
        </w:rPr>
        <w:t xml:space="preserve">Crisis Management:</w:t>
      </w:r>
      <w:r>
        <w:t xml:space="preserve"> </w:t>
      </w:r>
      <w:r>
        <w:t xml:space="preserve">Given the frequency of natural disasters such as earthquakes and typhoons, Education Administrators must be proficient in disaster preparedness and continuity planning.</w:t>
      </w:r>
    </w:p>
    <w:p>
      <w:pPr>
        <w:numPr>
          <w:ilvl w:val="0"/>
          <w:numId w:val="1001"/>
        </w:numPr>
        <w:pStyle w:val="Compact"/>
      </w:pPr>
      <w:r>
        <w:rPr>
          <w:bCs/>
          <w:b/>
        </w:rPr>
        <w:t xml:space="preserve">Digital Transformation (DX):</w:t>
      </w:r>
      <w:r>
        <w:t xml:space="preserve">The Japanese government’s push for "Digital Transformation" requires administrators to oversee the integration of AI, digital textbooks, and remote learning tools into traditional classroom settings without losing the human-centric approach valued in Kyoto culture.</w:t>
      </w:r>
    </w:p>
    <w:p>
      <w:pPr>
        <w:numPr>
          <w:ilvl w:val="0"/>
          <w:numId w:val="1001"/>
        </w:numPr>
        <w:pStyle w:val="Compact"/>
      </w:pPr>
      <w:r>
        <w:rPr>
          <w:bCs/>
          <w:b/>
        </w:rPr>
        <w:t xml:space="preserve">Stakeholder Management:</w:t>
      </w:r>
      <w:r>
        <w:t xml:space="preserve"> </w:t>
      </w:r>
      <w:r>
        <w:t xml:space="preserve">Effective communication with local boards of education, parents' associations (</w:t>
      </w:r>
      <w:r>
        <w:rPr>
          <w:iCs/>
          <w:i/>
        </w:rPr>
        <w:t xml:space="preserve">Jichikai</w:t>
      </w:r>
      <w:r>
        <w:t xml:space="preserve">), municipal government officials, and international partners is essential. In Japan Kyoto, maintaining face and harmony during disagreements is a critical skill.</w:t>
      </w:r>
    </w:p>
    <w:bookmarkEnd w:id="24"/>
    <w:bookmarkEnd w:id="25"/>
    <w:bookmarkStart w:id="26" w:name="Xbece8554746b6eb7e344649e3cef50f50a2a53b"/>
    <w:p>
      <w:pPr>
        <w:pStyle w:val="Heading2"/>
      </w:pPr>
      <w:r>
        <w:t xml:space="preserve">4. Strategic Challenges Identified in the Case Study</w:t>
      </w:r>
    </w:p>
    <w:p>
      <w:pPr>
        <w:pStyle w:val="FirstParagraph"/>
      </w:pPr>
      <w:r>
        <w:t xml:space="preserve">The analysis reveals four primary challenges that an Education Administrator must address in this specific region:</w:t>
      </w:r>
    </w:p>
    <w:p>
      <w:pPr>
        <w:pStyle w:val="BodyText"/>
      </w:pPr>
      <w:r>
        <w:rPr>
          <w:iCs/>
          <w:i/>
          <w:bCs/>
          <w:b/>
        </w:rPr>
        <w:t xml:space="preserve">Pillar 1: Internationalization and English Education</w:t>
      </w:r>
      <w:r>
        <w:br/>
      </w:r>
      <w:r>
        <w:t xml:space="preserve">Kyoto is a top destination for international tourists and students. However, local schools often lag in providing robust English language programs compared to global standards. The Administrator must drive curriculum reform that enhances linguistic capabilities while leveraging the city’s status as a cultural exchange hub to provide immersive learning experiences.</w:t>
      </w:r>
    </w:p>
    <w:p>
      <w:pPr>
        <w:pStyle w:val="BodyText"/>
      </w:pPr>
      <w:r>
        <w:rPr>
          <w:iCs/>
          <w:i/>
          <w:bCs/>
          <w:b/>
        </w:rPr>
        <w:t xml:space="preserve">Pillar 2: Teacher Workload and Retention</w:t>
      </w:r>
      <w:r>
        <w:br/>
      </w:r>
      <w:r>
        <w:t xml:space="preserve">Japanese teachers are notoriously overworked. In Kyoto, where there is high competition for teaching positions but also high expectations for community involvement, burnout remains a concern. The Administrator must implement policies that reduce administrative burdens on teachers and promote work-life balance to retain talent in the public sector.</w:t>
      </w:r>
    </w:p>
    <w:p>
      <w:pPr>
        <w:pStyle w:val="BodyText"/>
      </w:pPr>
      <w:r>
        <w:rPr>
          <w:iCs/>
          <w:i/>
          <w:bCs/>
          <w:b/>
        </w:rPr>
        <w:t xml:space="preserve">Pillar 3: Integration of Special Needs Education</w:t>
      </w:r>
      <w:r>
        <w:br/>
      </w:r>
      <w:r>
        <w:t xml:space="preserve">There is a growing need for inclusive education models. Administrators must ensure that schools are equipped to support students with disabilities, requiring specialized training for staff and physical adaptations to facilities—a challenging task in Kyoto where many older school buildings are protected heritage sites.</w:t>
      </w:r>
    </w:p>
    <w:bookmarkEnd w:id="26"/>
    <w:bookmarkStart w:id="30" w:name="Xefa9093e93bd693c3f80d548202f98c4fe809e2"/>
    <w:p>
      <w:pPr>
        <w:pStyle w:val="Heading2"/>
      </w:pPr>
      <w:r>
        <w:t xml:space="preserve">5. Proposed Solutions and Strategic Initiatives</w:t>
      </w:r>
    </w:p>
    <w:p>
      <w:pPr>
        <w:pStyle w:val="FirstParagraph"/>
      </w:pPr>
      <w:r>
        <w:t xml:space="preserve">To address these challenges, this Case Study proposes a three-pronged strategy for the Education Administrator in Japan Kyoto:</w:t>
      </w:r>
    </w:p>
    <w:bookmarkStart w:id="27" w:name="X00f2ef20cdaa0b5eb05f0ae0ba9f2eb7edfc41f"/>
    <w:p>
      <w:pPr>
        <w:pStyle w:val="Heading3"/>
      </w:pPr>
      <w:r>
        <w:t xml:space="preserve">5.1 Leveraging Local Heritage for STEM and Arts Integration</w:t>
      </w:r>
    </w:p>
    <w:p>
      <w:pPr>
        <w:pStyle w:val="FirstParagraph"/>
      </w:pPr>
      <w:r>
        <w:t xml:space="preserve">Rather than viewing tradition as an obstacle to modernization, administrators should integrate local craftsmanship and historical knowledge into STEM (Science, Technology, Engineering, Mathematics) curricula. For example, partnering with traditional Kyoto textile manufacturers or ceramic artists can provide real-world applications of geometry and chemistry for students. This approach reinforces local pride while enhancing academic rigor.</w:t>
      </w:r>
    </w:p>
    <w:bookmarkEnd w:id="27"/>
    <w:bookmarkStart w:id="28" w:name="establishing-regional-educational-hubs"/>
    <w:p>
      <w:pPr>
        <w:pStyle w:val="Heading3"/>
      </w:pPr>
      <w:r>
        <w:t xml:space="preserve">5.2 Establishing Regional Educational Hubs</w:t>
      </w:r>
    </w:p>
    <w:p>
      <w:pPr>
        <w:pStyle w:val="FirstParagraph"/>
      </w:pPr>
      <w:r>
        <w:t xml:space="preserve">To combat school consolidation issues, the Education Administrator should propose "Regional Educational Hubs." These would be centralized facilities that serve multiple small schools, offering specialized resources such as advanced laboratories, digital libraries, and counseling services. This model optimizes resource allocation while maintaining community access to education.</w:t>
      </w:r>
    </w:p>
    <w:bookmarkEnd w:id="28"/>
    <w:bookmarkStart w:id="29" w:name="community-based-mentorship-programs"/>
    <w:p>
      <w:pPr>
        <w:pStyle w:val="Heading3"/>
      </w:pPr>
      <w:r>
        <w:t xml:space="preserve">5.3 Community-Based Mentorship Programs</w:t>
      </w:r>
    </w:p>
    <w:p>
      <w:pPr>
        <w:pStyle w:val="FirstParagraph"/>
      </w:pPr>
      <w:r>
        <w:t xml:space="preserve">Kyoto has a vast population of retirees who are eager to contribute to society. The Administrator can facilitate mentorship programs where retired professionals, artisans, and scholars mentor students. This not only alleviates teacher workload but also strengthens intergenerational bonds within the community.</w:t>
      </w:r>
    </w:p>
    <w:bookmarkEnd w:id="29"/>
    <w:bookmarkEnd w:id="30"/>
    <w:bookmarkStart w:id="31" w:name="implementation-roadmap"/>
    <w:p>
      <w:pPr>
        <w:pStyle w:val="Heading2"/>
      </w:pPr>
      <w:r>
        <w:t xml:space="preserve">6. Implementation Roadmap</w:t>
      </w:r>
    </w:p>
    <w:p>
      <w:pPr>
        <w:pStyle w:val="FirstParagraph"/>
      </w:pPr>
      <w:r>
        <w:t xml:space="preserve">The implementation of these strategies requires a phased approach over a five-year period:</w:t>
      </w:r>
    </w:p>
    <w:p>
      <w:pPr>
        <w:numPr>
          <w:ilvl w:val="0"/>
          <w:numId w:val="1002"/>
        </w:numPr>
        <w:pStyle w:val="Compact"/>
      </w:pPr>
      <w:r>
        <w:rPr>
          <w:bCs/>
          <w:b/>
        </w:rPr>
        <w:t xml:space="preserve">Year 1: Assessment and Consultation.</w:t>
      </w:r>
      <w:r>
        <w:t xml:space="preserve"> Conduct stakeholder surveys and audit current facilities in Japan Kyoto. Establish working groups with teachers, parents, and local elders.</w:t>
      </w:r>
    </w:p>
    <w:p>
      <w:pPr>
        <w:numPr>
          <w:ilvl w:val="0"/>
          <w:numId w:val="1002"/>
        </w:numPr>
        <w:pStyle w:val="Compact"/>
      </w:pPr>
      <w:r>
        <w:rPr>
          <w:bCs/>
          <w:b/>
        </w:rPr>
        <w:t xml:space="preserve">Year 2-3: Pilot Programs.</w:t>
      </w:r>
      <w:r>
        <w:t xml:space="preserve"> Launch pilot initiatives in select schools for digital integration and heritage-based STEM projects. Evaluate outcomes carefully before scaling.</w:t>
      </w:r>
    </w:p>
    <w:p>
      <w:pPr>
        <w:numPr>
          <w:ilvl w:val="0"/>
          <w:numId w:val="1002"/>
        </w:numPr>
        <w:pStyle w:val="Compact"/>
      </w:pPr>
      <w:r>
        <w:rPr>
          <w:bCs/>
          <w:b/>
        </w:rPr>
        <w:t xml:space="preserve">Year 4-5: Systemic Expansion.</w:t>
      </w:r>
      <w:r>
        <w:t xml:space="preserve"> Roll out successful models across the prefecture. Refine policies based on feedback and secure long-term funding commitments from the Japanese national government and local Kyoto municipal funds.</w:t>
      </w:r>
    </w:p>
    <w:bookmarkEnd w:id="31"/>
    <w:bookmarkStart w:id="32" w:name="conclusion"/>
    <w:p>
      <w:pPr>
        <w:pStyle w:val="Heading2"/>
      </w:pPr>
      <w:r>
        <w:t xml:space="preserve">7. Conclusion</w:t>
      </w:r>
    </w:p>
    <w:p>
      <w:pPr>
        <w:pStyle w:val="FirstParagraph"/>
      </w:pPr>
      <w:r>
        <w:t xml:space="preserve">This Case Study underscores that the role of an Education Administrator in Japan Kyoto is uniquely complex. It requires a leader who can navigate the intersection of deep-rooted tradition and rapid modernization. By adopting strategies that leverage local cultural assets, address demographic realities, and prioritize teacher well-being, administrators can create a resilient and innovative education system.</w:t>
      </w:r>
    </w:p>
    <w:p>
      <w:pPr>
        <w:pStyle w:val="BodyText"/>
      </w:pPr>
      <w:r>
        <w:t xml:space="preserve">The success of this initiative will depend on the Administrator’s ability to foster collaboration between government bodies, educational institutions, and the wider Kyoto community. Ultimately, the goal is to cultivate a generation of students who are globally competent yet firmly rooted in their local heritage, ensuring that Japan Kyoto remains a beacon of educational excellence and cultural preservation for decades to come.</w:t>
      </w:r>
    </w:p>
    <w:p>
      <w:r>
        <w:pict>
          <v:rect style="width:0;height:1.5pt" o:hralign="center" o:hrstd="t" o:hr="t"/>
        </w:pict>
      </w:r>
    </w:p>
    <w:p>
      <w:pPr>
        <w:pStyle w:val="FirstParagraph"/>
      </w:pPr>
      <w:r>
        <w:rPr>
          <w:iCs/>
          <w:i/>
        </w:rPr>
        <w:t xml:space="preserve">Note: This document is a fictional Case Study created for illustrative purposes. All data and strategic proposals are generalized representations of current trends in Japanese education administration.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Education Administrator in Japan, Kyoto</dc:title>
  <dc:creator/>
  <dc:language>en</dc:language>
  <cp:keywords/>
  <dcterms:created xsi:type="dcterms:W3CDTF">2026-07-29T12:39:32Z</dcterms:created>
  <dcterms:modified xsi:type="dcterms:W3CDTF">2026-07-29T12:39:32Z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