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Administration</w:t>
      </w:r>
      <w:r>
        <w:t xml:space="preserve"> </w:t>
      </w:r>
      <w:r>
        <w:t xml:space="preserve">in</w:t>
      </w:r>
      <w:r>
        <w:t xml:space="preserve"> </w:t>
      </w:r>
      <w:r>
        <w:t xml:space="preserve">Japan,</w:t>
      </w:r>
      <w:r>
        <w:t xml:space="preserve"> </w:t>
      </w:r>
      <w:r>
        <w:t xml:space="preserve">Tokyo</w:t>
      </w:r>
    </w:p>
    <w:bookmarkStart w:id="32" w:name="X4bda98677b885850cbeb9283ffb38701603cd6b"/>
    <w:p>
      <w:pPr>
        <w:pStyle w:val="Heading1"/>
      </w:pPr>
      <w:r>
        <w:t xml:space="preserve">Bridging Tradition and Innovation: A Case Study on Education Administration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Educational Leadership and Institutional Reform</w:t>
      </w:r>
      <w:r>
        <w:br/>
      </w:r>
      <w:r>
        <w:rPr>
          <w:bCs/>
          <w:b/>
        </w:rPr>
        <w:t xml:space="preserve">Location Focus:</w:t>
      </w:r>
      <w:r>
        <w:t xml:space="preserve"> </w:t>
      </w:r>
      <w:r>
        <w:t xml:space="preserve">Japan, Tokyo</w:t>
      </w:r>
    </w:p>
    <w:bookmarkStart w:id="21" w:name="executive-summary"/>
    <w:p>
      <w:pPr>
        <w:pStyle w:val="Heading2"/>
      </w:pPr>
      <w:r>
        <w:t xml:space="preserve">1. Executive Summary</w:t>
      </w:r>
    </w:p>
    <w:p>
      <w:pPr>
        <w:pStyle w:val="FirstParagraph"/>
      </w:pPr>
      <w:r>
        <w:t xml:space="preserve">The role of an</w:t>
      </w:r>
      <w:r>
        <w:t xml:space="preserve"> </w:t>
      </w:r>
      <w:r>
        <w:rPr>
          <w:bCs/>
          <w:b/>
        </w:rPr>
        <w:t xml:space="preserve">Education Administrator</w:t>
      </w:r>
      <w:bookmarkStart w:id="20" w:name="admin"/>
      <w:bookmarkEnd w:id="20"/>
      <w:r>
        <w:t xml:space="preserve">(often referred to as *Kyoin-chou* or principal in specific school contexts) has undergone a profound transformation in recent years. This case study examines the complex dynamics facing modern educational leadership within the dense urban landscape of Japan, Tokyo. As a global metropolis and the cultural heart of Japan, Tokyo serves as both an incubator for progressive educational policies and a crucible where traditional Japanese values collide with contemporary societal demands. The primary objective of this document is to analyze how education administrators in</w:t>
      </w:r>
      <w:r>
        <w:t xml:space="preserve"> </w:t>
      </w:r>
      <w:r>
        <w:rPr>
          <w:bCs/>
          <w:b/>
        </w:rPr>
        <w:t xml:space="preserve">Japan, Tokyo</w:t>
      </w:r>
      <w:r>
        <w:t xml:space="preserve"> </w:t>
      </w:r>
      <w:r>
        <w:t xml:space="preserve">are navigating demographic shifts, technological integration, and internationalization while maintaining the high standards of academic rigor that define the region.</w:t>
      </w:r>
    </w:p>
    <w:bookmarkEnd w:id="21"/>
    <w:bookmarkStart w:id="22" w:name="X60c60b9f6f849f8ec8f1952a868128d72d39826"/>
    <w:p>
      <w:pPr>
        <w:pStyle w:val="Heading2"/>
      </w:pPr>
      <w:r>
        <w:t xml:space="preserve">2. Contextual Background: The Unique Landscape of Japan, Tokyo</w:t>
      </w:r>
    </w:p>
    <w:p>
      <w:pPr>
        <w:pStyle w:val="FirstParagraph"/>
      </w:pPr>
      <w:r>
        <w:t xml:space="preserve">Tokyo presents a unique paradox for educational leadership. On one hand it is one of the most advanced technological hubs in the world; on the other hand, it operates within a rigid bureaucratic framework deeply rooted in historical precedent. For any</w:t>
      </w:r>
      <w:r>
        <w:t xml:space="preserve"> </w:t>
      </w:r>
      <w:r>
        <w:rPr>
          <w:bCs/>
          <w:b/>
        </w:rPr>
        <w:t xml:space="preserve">Education Administrator</w:t>
      </w:r>
      <w:r>
        <w:t xml:space="preserve">, understanding this dichotomy is not merely beneficial but essential for survival and success.</w:t>
      </w:r>
    </w:p>
    <w:p>
      <w:pPr>
        <w:pStyle w:val="BodyText"/>
      </w:pPr>
      <w:r>
        <w:t xml:space="preserve">In Tokyo, competition for entry into prestigious secondary schools and universities is notoriously intense. This "exam hell" (*jukumu*) creates immense pressure on students, parents, and teachers alike. Simultaneously, the Japanese government has been pushing for a more holistic approach to education through the "Yutori Kyoiku" (relaxed education) reforms and subsequent adjustments aimed at fostering creativity and critical thinking rather than rote memorization. The</w:t>
      </w:r>
      <w:r>
        <w:t xml:space="preserve"> </w:t>
      </w:r>
      <w:r>
        <w:rPr>
          <w:bCs/>
          <w:b/>
        </w:rPr>
        <w:t xml:space="preserve">Education Administrator</w:t>
      </w:r>
      <w:r>
        <w:t xml:space="preserve"> </w:t>
      </w:r>
      <w:r>
        <w:t xml:space="preserve">in Tokyo must act as a buffer zone between these conflicting forces, ensuring compliance with national standards while addressing local community anxieties.</w:t>
      </w:r>
    </w:p>
    <w:bookmarkEnd w:id="22"/>
    <w:bookmarkStart w:id="26" w:name="X0ef165b11f4f18dcf59c93a2506f5dc75954126"/>
    <w:p>
      <w:pPr>
        <w:pStyle w:val="Heading2"/>
      </w:pPr>
      <w:r>
        <w:t xml:space="preserve">3. Key Challenges Faced by Education Administrators</w:t>
      </w:r>
    </w:p>
    <w:bookmarkStart w:id="23" w:name="Xdb6cde0777f2160fe46667482f22e79878e3a71"/>
    <w:p>
      <w:pPr>
        <w:pStyle w:val="Heading3"/>
      </w:pPr>
      <w:r>
        <w:t xml:space="preserve">A. Demographic Shifts and Inclusive Education</w:t>
      </w:r>
    </w:p>
    <w:p>
      <w:pPr>
        <w:pStyle w:val="FirstParagraph"/>
      </w:pPr>
      <w:r>
        <w:t xml:space="preserve">Tokyo is experiencing a dual demographic crisis: a declining birthrate in suburban districts leading to school consolidations, and an influx of international families in central wards like Minato and Shibuya. An effective</w:t>
      </w:r>
      <w:r>
        <w:t xml:space="preserve"> </w:t>
      </w:r>
      <w:r>
        <w:rPr>
          <w:bCs/>
          <w:b/>
        </w:rPr>
        <w:t xml:space="preserve">Education Administrator</w:t>
      </w:r>
      <w:r>
        <w:t xml:space="preserve"> </w:t>
      </w:r>
      <w:r>
        <w:t xml:space="preserve">must manage resources efficiently by closing under-enrolled schools while simultaneously expanding support systems for Non-Native Japanese Speakers (NNS). This involves coordinating with local boards of education to implement bilingual support programs and cultural integration workshops that respect the heritage of immigrant students while facilitating their assimilation into the rigorous Tokyo academic system.</w:t>
      </w:r>
    </w:p>
    <w:bookmarkEnd w:id="23"/>
    <w:bookmarkStart w:id="24" w:name="X4f008711e0853fefdb6e53b6bec0873361f8937"/>
    <w:p>
      <w:pPr>
        <w:pStyle w:val="Heading3"/>
      </w:pPr>
      <w:r>
        <w:t xml:space="preserve">B. Digital Transformation (DX) in Education</w:t>
      </w:r>
    </w:p>
    <w:p>
      <w:pPr>
        <w:pStyle w:val="FirstParagraph"/>
      </w:pPr>
      <w:r>
        <w:t xml:space="preserve">The post-pandemic era has accelerated the demand for digital literacy. In</w:t>
      </w:r>
      <w:r>
        <w:t xml:space="preserve"> </w:t>
      </w:r>
      <w:r>
        <w:rPr>
          <w:bCs/>
          <w:b/>
        </w:rPr>
        <w:t xml:space="preserve">Japan, Tokyo</w:t>
      </w:r>
      <w:r>
        <w:t xml:space="preserve">, schools are rapidly adopting tablet-based learning and AI-driven assessment tools. However, the challenge lies not in acquiring technology but in pedagogical adaptation. The</w:t>
      </w:r>
      <w:r>
        <w:t xml:space="preserve"> </w:t>
      </w:r>
      <w:r>
        <w:rPr>
          <w:bCs/>
          <w:b/>
        </w:rPr>
        <w:t xml:space="preserve">Education Administrator</w:t>
      </w:r>
      <w:r>
        <w:t xml:space="preserve"> </w:t>
      </w:r>
      <w:r>
        <w:t xml:space="preserve">is tasked with training staff who may be resistant to change due to age or entrenched teaching methods. This requires a strategic approach to professional development that emphasizes peer-learning communities and reduces the administrative burden typically associated with new technology integration.</w:t>
      </w:r>
    </w:p>
    <w:bookmarkEnd w:id="24"/>
    <w:bookmarkStart w:id="25" w:name="c.-teacher-workload-and-retention"/>
    <w:p>
      <w:pPr>
        <w:pStyle w:val="Heading3"/>
      </w:pPr>
      <w:r>
        <w:t xml:space="preserve">C. Teacher Workload and Retention</w:t>
      </w:r>
    </w:p>
    <w:p>
      <w:pPr>
        <w:pStyle w:val="FirstParagraph"/>
      </w:pPr>
      <w:r>
        <w:t xml:space="preserve">Tokyo teachers face one of the highest workloads in the developed world, often working late into the night on club activities (*bukatsu*) and administrative paperwork. High attrition rates among early-career educators pose a significant threat to educational quality. The</w:t>
      </w:r>
      <w:r>
        <w:t xml:space="preserve"> </w:t>
      </w:r>
      <w:r>
        <w:rPr>
          <w:bCs/>
          <w:b/>
        </w:rPr>
        <w:t xml:space="preserve">Education Administrator</w:t>
      </w:r>
      <w:r>
        <w:t xml:space="preserve"> </w:t>
      </w:r>
      <w:r>
        <w:t xml:space="preserve">must prioritize teacher well-being by restructuring schedules, limiting unnecessary meetings, and fostering a supportive school culture that values work-life balance without compromising the community expectations inherent in Japanese schools.</w:t>
      </w:r>
    </w:p>
    <w:bookmarkEnd w:id="25"/>
    <w:bookmarkEnd w:id="26"/>
    <w:bookmarkStart w:id="27" w:name="X3bb64a57c02b6fd43342e9314956a33a01a017d"/>
    <w:p>
      <w:pPr>
        <w:pStyle w:val="Heading2"/>
      </w:pPr>
      <w:r>
        <w:t xml:space="preserve">4. Strategic Interventions and Best Practices</w:t>
      </w:r>
    </w:p>
    <w:p>
      <w:pPr>
        <w:pStyle w:val="FirstParagraph"/>
      </w:pPr>
      <w:r>
        <w:t xml:space="preserve">To address these challenges, leading</w:t>
      </w:r>
      <w:r>
        <w:t xml:space="preserve"> </w:t>
      </w:r>
      <w:r>
        <w:rPr>
          <w:bCs/>
          <w:b/>
        </w:rPr>
        <w:t xml:space="preserve">Education Administrators</w:t>
      </w:r>
      <w:r>
        <w:t xml:space="preserve"> </w:t>
      </w:r>
      <w:r>
        <w:t xml:space="preserve">in Tokyo have adopted several strategic interventions:</w:t>
      </w:r>
    </w:p>
    <w:p>
      <w:pPr>
        <w:numPr>
          <w:ilvl w:val="0"/>
          <w:numId w:val="1001"/>
        </w:numPr>
        <w:pStyle w:val="Compact"/>
      </w:pPr>
      <w:r>
        <w:rPr>
          <w:bCs/>
          <w:b/>
        </w:rPr>
        <w:t xml:space="preserve">Data-Driven Decision Making:</w:t>
      </w:r>
      <w:r>
        <w:t xml:space="preserve"> </w:t>
      </w:r>
      <w:r>
        <w:t xml:space="preserve">Utilizing analytics to predict enrollment trends and allocate resources proactively rather than reactively.</w:t>
      </w:r>
    </w:p>
    <w:p>
      <w:pPr>
        <w:numPr>
          <w:ilvl w:val="0"/>
          <w:numId w:val="1001"/>
        </w:numPr>
        <w:pStyle w:val="Compact"/>
      </w:pPr>
      <w:r>
        <w:rPr>
          <w:bCs/>
          <w:b/>
        </w:rPr>
        <w:t xml:space="preserve">Glocalization of Curriculum:</w:t>
      </w:r>
      <w:r>
        <w:t xml:space="preserve"> </w:t>
      </w:r>
      <w:r>
        <w:t xml:space="preserve">Integrating global perspectives into local lessons, allowing students in Tokyo to understand their role in a globalized world while retaining their Japanese identity.</w:t>
      </w:r>
    </w:p>
    <w:p>
      <w:pPr>
        <w:numPr>
          <w:ilvl w:val="0"/>
          <w:numId w:val="1001"/>
        </w:numPr>
        <w:pStyle w:val="Compact"/>
      </w:pPr>
      <w:r>
        <w:rPr>
          <w:bCs/>
          <w:b/>
        </w:rPr>
        <w:t xml:space="preserve">Community Engagement Models:</w:t>
      </w:r>
      <w:r>
        <w:t xml:space="preserve"> </w:t>
      </w:r>
      <w:r>
        <w:t xml:space="preserve">Creating open-house platforms where parents and community members can participate in school governance, thereby reducing the isolation often felt by the administration.</w:t>
      </w:r>
    </w:p>
    <w:p>
      <w:pPr>
        <w:numPr>
          <w:ilvl w:val="0"/>
          <w:numId w:val="1001"/>
        </w:numPr>
        <w:pStyle w:val="Compact"/>
      </w:pPr>
      <w:r>
        <w:rPr>
          <w:bCs/>
          <w:b/>
        </w:rPr>
        <w:t xml:space="preserve">Mental Health Support Systems:</w:t>
      </w:r>
      <w:r>
        <w:t xml:space="preserve"> </w:t>
      </w:r>
      <w:r>
        <w:t xml:space="preserve">Implementing dedicated counseling services and regular mental health check-ins for both staff and students, recognizing that emotional resilience is as critical as academic proficiency.</w:t>
      </w:r>
    </w:p>
    <w:bookmarkEnd w:id="27"/>
    <w:bookmarkStart w:id="28" w:name="Xca42cc19f7129ccd3e6daf8f0e90b94f9c3c84f"/>
    <w:p>
      <w:pPr>
        <w:pStyle w:val="Heading2"/>
      </w:pPr>
      <w:r>
        <w:t xml:space="preserve">5. Case Analysis: A Tokyo Public School Initiative</w:t>
      </w:r>
    </w:p>
    <w:p>
      <w:pPr>
        <w:pStyle w:val="FirstParagraph"/>
      </w:pPr>
      <w:r>
        <w:t xml:space="preserve">In 2021, a public middle school in Bunkyo Ward, Tokyo, implemented a radical reform led by its</w:t>
      </w:r>
      <w:r>
        <w:t xml:space="preserve"> </w:t>
      </w:r>
      <w:r>
        <w:rPr>
          <w:bCs/>
          <w:b/>
        </w:rPr>
        <w:t xml:space="preserve">Education Administrator</w:t>
      </w:r>
      <w:r>
        <w:t xml:space="preserve">. The initiative focused on reducing the "hidden curriculum" of excessive after-school activities that contributed to teacher burnout and student fatigue. By partnering with local community centers and volunteer organizations, the school transferred responsibility for club activities to external entities during certain hours.</w:t>
      </w:r>
    </w:p>
    <w:p>
      <w:pPr>
        <w:pStyle w:val="BodyText"/>
      </w:pPr>
      <w:r>
        <w:t xml:space="preserve">The result was a 15% increase in teacher retention rates over two years and a measurable improvement in student satisfaction scores regarding their learning environment. This case illustrates that even within the rigid structures of</w:t>
      </w:r>
      <w:r>
        <w:t xml:space="preserve"> </w:t>
      </w:r>
      <w:r>
        <w:rPr>
          <w:bCs/>
          <w:b/>
        </w:rPr>
        <w:t xml:space="preserve">Japan, Tokyo</w:t>
      </w:r>
      <w:r>
        <w:t xml:space="preserve">, innovative leadership can yield significant positive outcomes when administrators leverage community partnerships and prioritize human capital.</w:t>
      </w:r>
    </w:p>
    <w:bookmarkEnd w:id="28"/>
    <w:bookmarkStart w:id="31" w:name="conclusion"/>
    <w:p>
      <w:pPr>
        <w:pStyle w:val="Heading2"/>
      </w:pPr>
      <w:r>
        <w:t xml:space="preserve">6. Conclusion</w:t>
      </w:r>
    </w:p>
    <w:p>
      <w:pPr>
        <w:pStyle w:val="FirstParagraph"/>
      </w:pPr>
      <w:r>
        <w:t xml:space="preserve">The role of the</w:t>
      </w:r>
      <w:r>
        <w:t xml:space="preserve"> </w:t>
      </w:r>
      <w:r>
        <w:rPr>
          <w:bCs/>
          <w:b/>
        </w:rPr>
        <w:t xml:space="preserve">Education Administrator</w:t>
      </w:r>
      <w:bookmarkStart w:id="29" w:name="admin_end"/>
      <w:bookmarkEnd w:id="29"/>
      <w:r>
        <w:t xml:space="preserve"> </w:t>
      </w:r>
      <w:r>
        <w:t xml:space="preserve">in Tokyo is more critical than ever before. It requires a delicate balance of respecting traditional Japanese values such as harmony (*wa*) and diligence, while aggressively pursuing modernization, inclusivity, and efficiency. As</w:t>
      </w:r>
      <w:r>
        <w:t xml:space="preserve"> </w:t>
      </w:r>
      <w:r>
        <w:rPr>
          <w:bCs/>
          <w:b/>
        </w:rPr>
        <w:t xml:space="preserve">Japan, Tokyo</w:t>
      </w:r>
      <w:r>
        <w:t xml:space="preserve"> </w:t>
      </w:r>
      <w:r>
        <w:t xml:space="preserve">continues to evolve as a global city, its educational institutions must reflect the diversity and dynamism of their surroundings.</w:t>
      </w:r>
    </w:p>
    <w:p>
      <w:pPr>
        <w:pStyle w:val="BodyText"/>
      </w:pPr>
      <w:r>
        <w:t xml:space="preserve">Future success will depend on the ability of administrators to act not just as managers of facilities and budgets but as visionary leaders who champion the holistic well-being of students and staff. By embracing digital transformation, addressing demographic changes, and fostering a supportive school culture,</w:t>
      </w:r>
      <w:r>
        <w:t xml:space="preserve"> </w:t>
      </w:r>
      <w:r>
        <w:rPr>
          <w:bCs/>
          <w:b/>
        </w:rPr>
        <w:t xml:space="preserve">Education Administrators</w:t>
      </w:r>
      <w:bookmarkStart w:id="30" w:name="admin_end2"/>
      <w:bookmarkEnd w:id="30"/>
      <w:r>
        <w:t xml:space="preserve"> </w:t>
      </w:r>
      <w:r>
        <w:t xml:space="preserve">can ensure that Tokyo remains a beacon of educational excellence in the 21st century.</w:t>
      </w:r>
    </w:p>
    <w:p>
      <w:r>
        <w:pict>
          <v:rect style="width:0;height:1.5pt" o:hralign="center" o:hrstd="t" o:hr="t"/>
        </w:pict>
      </w:r>
    </w:p>
    <w:p>
      <w:pPr>
        <w:pStyle w:val="FirstParagraph"/>
      </w:pPr>
      <w:r>
        <w:rPr>
          <w:iCs/>
          <w:i/>
        </w:rPr>
        <w:t xml:space="preserve">This document serves as an analytical framework for stakeholders interested in educational policy, administrative practices, and institutional leadership within the specific context of Japan, Tokyo.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Administration in Japan, Tokyo</dc:title>
  <dc:creator/>
  <dc:language>en</dc:language>
  <cp:keywords/>
  <dcterms:created xsi:type="dcterms:W3CDTF">2026-07-29T15:44:22Z</dcterms:created>
  <dcterms:modified xsi:type="dcterms:W3CDTF">2026-07-29T15:44:22Z</dcterms:modified>
</cp:coreProperties>
</file>

<file path=docProps/custom.xml><?xml version="1.0" encoding="utf-8"?>
<Properties xmlns="http://schemas.openxmlformats.org/officeDocument/2006/custom-properties" xmlns:vt="http://schemas.openxmlformats.org/officeDocument/2006/docPropsVTypes"/>
</file>