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Educational</w:t>
      </w:r>
      <w:r>
        <w:t xml:space="preserve"> </w:t>
      </w:r>
      <w:r>
        <w:t xml:space="preserve">Leadership</w:t>
      </w:r>
      <w:r>
        <w:t xml:space="preserve"> </w:t>
      </w:r>
      <w:r>
        <w:t xml:space="preserve">in</w:t>
      </w:r>
      <w:r>
        <w:t xml:space="preserve"> </w:t>
      </w:r>
      <w:r>
        <w:t xml:space="preserve">Kenya</w:t>
      </w:r>
      <w:r>
        <w:t xml:space="preserve"> </w:t>
      </w:r>
      <w:r>
        <w:t xml:space="preserve">Nairobi</w:t>
      </w:r>
    </w:p>
    <w:bookmarkStart w:id="21" w:name="X809fa6ccce846d1c4dcd9bf5deec2a08692b3f7"/>
    <w:p>
      <w:pPr>
        <w:pStyle w:val="Heading1"/>
      </w:pPr>
      <w:r>
        <w:t xml:space="preserve">Educational Leadership in the Heart of the Capital</w:t>
      </w:r>
    </w:p>
    <w:bookmarkStart w:id="20" w:name="X3c458fb24e3c2d7b3e28dec50a932ad47f0b5f7"/>
    <w:p>
      <w:pPr>
        <w:pStyle w:val="Heading2"/>
      </w:pPr>
      <w:r>
        <w:t xml:space="preserve">An In-Depth Case Study on the Role and Impact of an Education Administrator in Kenya Nairobi</w:t>
      </w:r>
    </w:p>
    <w:p>
      <w:pPr>
        <w:pStyle w:val="FirstParagraph"/>
      </w:pPr>
      <w:r>
        <w:rPr>
          <w:bCs/>
          <w:b/>
        </w:rPr>
        <w:t xml:space="preserve">Date:</w:t>
      </w:r>
      <w:r>
        <w:t xml:space="preserve"> </w:t>
      </w:r>
      <w:r>
        <w:t xml:space="preserve">October 2023</w:t>
      </w:r>
      <w:r>
        <w:br/>
      </w:r>
      <w:r>
        <w:rPr>
          <w:bCs/>
          <w:b/>
        </w:rPr>
        <w:t xml:space="preserve">Subject:</w:t>
      </w:r>
      <w:r>
        <w:t xml:space="preserve">The Strategic Evolution of Educational Management</w:t>
      </w:r>
      <w:r>
        <w:br/>
      </w:r>
      <w:r>
        <w:rPr>
          <w:bCs/>
          <w:b/>
        </w:rPr>
        <w:t xml:space="preserve">Focus Region:</w:t>
      </w:r>
      <w:r>
        <w:t xml:space="preserve">Kenya, with specific emphasis on the urban dynamics of Nairobi</w:t>
      </w:r>
      <w:r>
        <w:br/>
      </w:r>
    </w:p>
    <w:p>
      <w:pPr>
        <w:pStyle w:val="BodyText"/>
      </w:pPr>
      <w:r>
        <w:t xml:space="preserve">In the rapidly evolving landscape of global education, few regions present as complex and dynamic a challenge as sub-Saharan Africa. Within this context,</w:t>
      </w:r>
      <w:r>
        <w:t xml:space="preserve"> </w:t>
      </w:r>
      <w:r>
        <w:rPr>
          <w:bCs/>
          <w:b/>
        </w:rPr>
        <w:t xml:space="preserve">Kenya Nairobi</w:t>
      </w:r>
      <w:r>
        <w:t xml:space="preserve"> </w:t>
      </w:r>
      <w:r>
        <w:t xml:space="preserve">stands out as a critical hub for academic innovation, policy implementation, and demographic pressure. The capital city is not only the economic engine of Kenya but also hosts some of the country's most prestigious institutions alongside sprawling informal settlements that require urgent educational intervention.</w:t>
      </w:r>
    </w:p>
    <w:p>
      <w:pPr>
        <w:pStyle w:val="BodyText"/>
      </w:pPr>
      <w:r>
        <w:t xml:space="preserve">This case study explores the multifaceted role of an</w:t>
      </w:r>
      <w:r>
        <w:t xml:space="preserve"> </w:t>
      </w:r>
      <w:r>
        <w:rPr>
          <w:bCs/>
          <w:b/>
        </w:rPr>
        <w:t xml:space="preserve">Education Administrator</w:t>
      </w:r>
      <w:r>
        <w:t xml:space="preserve">. It examines how leadership within this specific geographic and cultural framework navigates systemic challenges, leverages digital transformation, and strives for equitable access to quality learning. By analyzing the operational realities faced by administrators in</w:t>
      </w:r>
      <w:r>
        <w:t xml:space="preserve"> </w:t>
      </w:r>
      <w:r>
        <w:rPr>
          <w:bCs/>
          <w:b/>
        </w:rPr>
        <w:t xml:space="preserve">Kenya Nairobi</w:t>
      </w:r>
      <w:r>
        <w:t xml:space="preserve">, we gain insight into the broader trends shaping education policy across East Africa.</w:t>
      </w:r>
    </w:p>
    <w:p>
      <w:pPr>
        <w:pStyle w:val="BodyText"/>
      </w:pPr>
      <w:r>
        <w:t xml:space="preserve">The city of</w:t>
      </w:r>
      <w:r>
        <w:t xml:space="preserve"> </w:t>
      </w:r>
      <w:r>
        <w:rPr>
          <w:bCs/>
          <w:b/>
        </w:rPr>
        <w:t xml:space="preserve">Nairobi</w:t>
      </w:r>
      <w:r>
        <w:t xml:space="preserve"> </w:t>
      </w:r>
      <w:r>
        <w:t xml:space="preserve">presents a unique dichotomy for educational planning. On one hand, it houses international schools and top-tier private institutions that cater to the elite and expatriate communities. On the other hand, it manages thousands of public primary and secondary schools within densely populated areas such as Kibera, Mathare, and Mukuru. For an</w:t>
      </w:r>
      <w:r>
        <w:t xml:space="preserve"> </w:t>
      </w:r>
      <w:r>
        <w:rPr>
          <w:bCs/>
          <w:b/>
        </w:rPr>
        <w:t xml:space="preserve">Education Administrator</w:t>
      </w:r>
      <w:r>
        <w:t xml:space="preserve">, the mandate is not merely to manage budgets or schedules but to bridge these vast socioeconomic gaps.</w:t>
      </w:r>
    </w:p>
    <w:p>
      <w:pPr>
        <w:pStyle w:val="BodyText"/>
      </w:pPr>
      <w:r>
        <w:t xml:space="preserve">The transition from the 8-4-4 system to the Competency-Based Curriculum (CBC) has added another layer of complexity. The CBC requires a shift from rote memorization to skill acquisition, demanding significant changes in infrastructure, teacher training, and resource allocation. In</w:t>
      </w:r>
      <w:r>
        <w:t xml:space="preserve"> </w:t>
      </w:r>
      <w:r>
        <w:rPr>
          <w:bCs/>
          <w:b/>
        </w:rPr>
        <w:t xml:space="preserve">Kenya Nairobi</w:t>
      </w:r>
      <w:r>
        <w:t xml:space="preserve">, where space is at a premium and resources are stretched thin, the ability of an administrator to adapt quickly is paramount.</w:t>
      </w:r>
    </w:p>
    <w:p>
      <w:pPr>
        <w:pStyle w:val="BodyText"/>
      </w:pPr>
      <w:r>
        <w:t xml:space="preserve">An</w:t>
      </w:r>
      <w:r>
        <w:t xml:space="preserve"> </w:t>
      </w:r>
      <w:r>
        <w:rPr>
          <w:bCs/>
          <w:b/>
        </w:rPr>
        <w:t xml:space="preserve">Education Administrator</w:t>
      </w:r>
      <w:r>
        <w:t xml:space="preserve"> </w:t>
      </w:r>
      <w:r>
        <w:t xml:space="preserve">in this region operates as a strategic leader, operational manager, and community liaison. Their responsibilities extend far beyond traditional bureaucratic duties. Below are the key pillars of their role:</w:t>
      </w:r>
    </w:p>
    <w:p>
      <w:pPr>
        <w:pStyle w:val="BodyText"/>
      </w:pPr>
      <w:r>
        <w:t xml:space="preserve">The Kenya Institute of Curriculum Development (KICD) sets national standards, but it is the local</w:t>
      </w:r>
      <w:r>
        <w:t xml:space="preserve"> </w:t>
      </w:r>
      <w:r>
        <w:rPr>
          <w:bCs/>
          <w:b/>
        </w:rPr>
        <w:t xml:space="preserve">Education Administrator</w:t>
      </w:r>
      <w:r>
        <w:t xml:space="preserve"> </w:t>
      </w:r>
      <w:r>
        <w:t xml:space="preserve">who translates these into actionable plans within</w:t>
      </w:r>
      <w:r>
        <w:t xml:space="preserve"> </w:t>
      </w:r>
      <w:r>
        <w:rPr>
          <w:bCs/>
          <w:b/>
        </w:rPr>
        <w:t xml:space="preserve">Nairobi</w:t>
      </w:r>
      <w:r>
        <w:t xml:space="preserve">. This involves interpreting government directives on literacy, numeracy, and digital skills and tailoring them to the specific needs of individual school clusters. For instance, an administrator in Westlands may focus heavily on STEM integration due to the local tech ecosystem, while an administrator in Kibera may prioritize basic literacy initiatives and nutrition programs.</w:t>
      </w:r>
    </w:p>
    <w:p>
      <w:pPr>
        <w:pStyle w:val="BodyText"/>
      </w:pPr>
      <w:r>
        <w:t xml:space="preserve">Funding for public education in</w:t>
      </w:r>
      <w:r>
        <w:t xml:space="preserve"> </w:t>
      </w:r>
      <w:r>
        <w:rPr>
          <w:bCs/>
          <w:b/>
        </w:rPr>
        <w:t xml:space="preserve">Kenya Nairobi</w:t>
      </w:r>
      <w:r>
        <w:t xml:space="preserve"> </w:t>
      </w:r>
      <w:r>
        <w:t xml:space="preserve">often falls short of actual needs. An effective</w:t>
      </w:r>
      <w:r>
        <w:t xml:space="preserve"> </w:t>
      </w:r>
      <w:r>
        <w:rPr>
          <w:bCs/>
          <w:b/>
        </w:rPr>
        <w:t xml:space="preserve">Education Administrator</w:t>
      </w:r>
      <w:r>
        <w:t xml:space="preserve"> </w:t>
      </w:r>
      <w:r>
        <w:t xml:space="preserve">must be adept at grant writing, engaging with donors, and managing limited government capitation grants efficiently. This includes overseeing the distribution of textbooks, maintaining infrastructure amidst rapid urban decay, and ensuring that funds reach the intended recipients without corruption—a persistent challenge in many urban centers.</w:t>
      </w:r>
    </w:p>
    <w:p>
      <w:pPr>
        <w:pStyle w:val="BodyText"/>
      </w:pPr>
      <w:r>
        <w:t xml:space="preserve">In</w:t>
      </w:r>
      <w:r>
        <w:t xml:space="preserve"> </w:t>
      </w:r>
      <w:r>
        <w:rPr>
          <w:bCs/>
          <w:b/>
        </w:rPr>
        <w:t xml:space="preserve">Nairobi</w:t>
      </w:r>
      <w:r>
        <w:t xml:space="preserve">, schools are embedded in tight-knit yet volatile communities. The</w:t>
      </w:r>
      <w:r>
        <w:t xml:space="preserve"> </w:t>
      </w:r>
      <w:r>
        <w:rPr>
          <w:bCs/>
          <w:b/>
        </w:rPr>
        <w:t xml:space="preserve">Education Administrator</w:t>
      </w:r>
      <w:r>
        <w:t xml:space="preserve"> </w:t>
      </w:r>
      <w:r>
        <w:t xml:space="preserve">serves as the primary bridge between school boards, Parent-Teacher Associations (PTAs), local government officials, and community leaders. Successful administrators in this region are skilled negotiators who can de-escalate conflicts related to fee structures, teacher strikes, or curriculum disputes.</w:t>
      </w:r>
    </w:p>
    <w:p>
      <w:pPr>
        <w:pStyle w:val="BodyText"/>
      </w:pPr>
      <w:r>
        <w:t xml:space="preserve">To illustrate the practical application of administrative skills, consider the case of "Mtaani Tech Hubs," a pilot program launched in three public secondary schools in</w:t>
      </w:r>
      <w:r>
        <w:t xml:space="preserve"> </w:t>
      </w:r>
      <w:r>
        <w:rPr>
          <w:bCs/>
          <w:b/>
        </w:rPr>
        <w:t xml:space="preserve">Nairobi</w:t>
      </w:r>
      <w:r>
        <w:t xml:space="preserve">. The goal was to integrate digital literacy into the CBC framework.</w:t>
      </w:r>
    </w:p>
    <w:p>
      <w:pPr>
        <w:pStyle w:val="BodyText"/>
      </w:pPr>
      <w:r>
        <w:rPr>
          <w:bCs/>
          <w:b/>
        </w:rPr>
        <w:t xml:space="preserve">The Challenge:</w:t>
      </w:r>
      <w:r>
        <w:t xml:space="preserve"> </w:t>
      </w:r>
      <w:r>
        <w:t xml:space="preserve">The schools lacked reliable internet connectivity, sufficient hardware, and teachers trained in digital pedagogy. Furthermore, there was significant resistance from some staff members who feared job displacement or were unfamiliar with new technologies.</w:t>
      </w:r>
    </w:p>
    <w:p>
      <w:pPr>
        <w:pStyle w:val="BodyText"/>
      </w:pPr>
      <w:r>
        <w:rPr>
          <w:bCs/>
          <w:b/>
        </w:rPr>
        <w:t xml:space="preserve">The Administrator's Response:</w:t>
      </w:r>
    </w:p>
    <w:p>
      <w:pPr>
        <w:numPr>
          <w:ilvl w:val="0"/>
          <w:numId w:val="1001"/>
        </w:numPr>
        <w:pStyle w:val="Compact"/>
      </w:pPr>
      <w:r>
        <w:rPr>
          <w:bCs/>
          <w:b/>
        </w:rPr>
        <w:t xml:space="preserve">Audit and Planning:</w:t>
      </w:r>
      <w:r>
        <w:t xml:space="preserve">The</w:t>
      </w:r>
      <w:r>
        <w:t xml:space="preserve"> </w:t>
      </w:r>
      <w:r>
        <w:rPr>
          <w:bCs/>
          <w:b/>
        </w:rPr>
        <w:t xml:space="preserve">Education Administrator</w:t>
      </w:r>
    </w:p>
    <w:p>
      <w:pPr>
        <w:numPr>
          <w:ilvl w:val="0"/>
          <w:numId w:val="1001"/>
        </w:numPr>
        <w:pStyle w:val="Compact"/>
      </w:pPr>
      <w:r>
        <w:rPr>
          <w:bCs/>
          <w:b/>
        </w:rPr>
        <w:t xml:space="preserve">Capacity Building:</w:t>
      </w:r>
      <w:r>
        <w:t xml:space="preserve">Instead of importing external consultants, the administrator organized internal workshops, training selected "Digital Champion" teachers within the staff. This created a sustainable model where peer-to-peer learning was encouraged.</w:t>
      </w:r>
    </w:p>
    <w:p>
      <w:pPr>
        <w:numPr>
          <w:ilvl w:val="0"/>
          <w:numId w:val="1001"/>
        </w:numPr>
        <w:pStyle w:val="Compact"/>
      </w:pPr>
      <w:r>
        <w:t xml:space="preserve">Community Involvement:The administrator held town hall meetings in</w:t>
      </w:r>
      <w:r>
        <w:t xml:space="preserve"> </w:t>
      </w:r>
      <w:r>
        <w:rPr>
          <w:bCs/>
          <w:b/>
        </w:rPr>
        <w:t xml:space="preserve">Nairobi</w:t>
      </w:r>
      <w:r>
        <w:t xml:space="preserve">, explaining to parents how digital skills would improve their children's employability, thereby securing community buy-in and reducing opposition to technology use.</w:t>
      </w:r>
    </w:p>
    <w:p>
      <w:pPr>
        <w:pStyle w:val="FirstParagraph"/>
      </w:pPr>
      <w:r>
        <w:t xml:space="preserve">The Outcome:Within one academic year, student engagement in science and mathematics increased by 40%. More importantly, the</w:t>
      </w:r>
      <w:r>
        <w:t xml:space="preserve"> </w:t>
      </w:r>
      <w:r>
        <w:rPr>
          <w:bCs/>
          <w:b/>
        </w:rPr>
        <w:t xml:space="preserve">Education Administrator</w:t>
      </w:r>
      <w:r>
        <w:t xml:space="preserve">established a replicable model that was adopted by neighboring schools in the region, demonstrating the scalability of effective local leadership.</w:t>
      </w:r>
    </w:p>
    <w:p>
      <w:pPr>
        <w:pStyle w:val="BodyText"/>
      </w:pPr>
      <w:r>
        <w:t xml:space="preserve">Despite successes, administrators in</w:t>
      </w:r>
      <w:r>
        <w:t xml:space="preserve"> </w:t>
      </w:r>
      <w:r>
        <w:rPr>
          <w:bCs/>
          <w:b/>
        </w:rPr>
        <w:t xml:space="preserve">Nairobi</w:t>
      </w:r>
      <w:r>
        <w:t xml:space="preserve">face significant hurdles:</w:t>
      </w:r>
    </w:p>
    <w:p>
      <w:pPr>
        <w:numPr>
          <w:ilvl w:val="0"/>
          <w:numId w:val="1002"/>
        </w:numPr>
        <w:pStyle w:val="Compact"/>
      </w:pPr>
      <w:r>
        <w:t xml:space="preserve">Bureaucratic Red Tape:Navigating the Ministry of Education’s requirements can be slow and cumbersome, delaying critical projects.</w:t>
      </w:r>
    </w:p>
    <w:p>
      <w:pPr>
        <w:numPr>
          <w:ilvl w:val="0"/>
          <w:numId w:val="1002"/>
        </w:numPr>
        <w:pStyle w:val="Compact"/>
      </w:pPr>
      <w:r>
        <w:t xml:space="preserve">Socioeconomic Pressures:Poverty levels in parts of</w:t>
      </w:r>
    </w:p>
    <w:p>
      <w:pPr>
        <w:numPr>
          <w:ilvl w:val="0"/>
          <w:numId w:val="1000"/>
        </w:numPr>
        <w:pStyle w:val="Compact"/>
      </w:pPr>
      <w:r>
        <w:t xml:space="preserve">Nairobilead to high absenteeism rates due to illness or the need for children to work. Administrators must constantly balance academic rigor with social welfare support.</w:t>
      </w:r>
    </w:p>
    <w:p>
      <w:pPr>
        <w:numPr>
          <w:ilvl w:val="0"/>
          <w:numId w:val="1002"/>
        </w:numPr>
        <w:pStyle w:val="Compact"/>
      </w:pPr>
      <w:r>
        <w:t xml:space="preserve">Teacher Retention:Attracting and retaining quality teachers in under-resourced areas is difficult. Competitive salaries from private institutions often lure away talented educators, leaving public schools understaffed.</w:t>
      </w:r>
    </w:p>
    <w:p>
      <w:pPr>
        <w:pStyle w:val="FirstParagraph"/>
      </w:pPr>
      <w:r>
        <w:t xml:space="preserve">To enhance the effectiveness of</w:t>
      </w:r>
    </w:p>
    <w:p>
      <w:pPr>
        <w:pStyle w:val="BodyText"/>
      </w:pPr>
      <w:r>
        <w:t xml:space="preserve">Education Administratorsin</w:t>
      </w:r>
    </w:p>
    <w:p>
      <w:pPr>
        <w:pStyle w:val="BodyText"/>
      </w:pPr>
      <w:r>
        <w:t xml:space="preserve">Nairobi, several strategies are recommended:</w:t>
      </w:r>
    </w:p>
    <w:p>
      <w:pPr>
        <w:numPr>
          <w:ilvl w:val="0"/>
          <w:numId w:val="1003"/>
        </w:numPr>
        <w:pStyle w:val="Compact"/>
      </w:pPr>
      <w:r>
        <w:t xml:space="preserve">Digital Infrastructure Investment:The government and private sector must collaborate to ensure stable internet access in all urban schools.</w:t>
      </w:r>
    </w:p>
    <w:p>
      <w:pPr>
        <w:numPr>
          <w:ilvl w:val="0"/>
          <w:numId w:val="1003"/>
        </w:numPr>
        <w:pStyle w:val="Compact"/>
      </w:pPr>
      <w:r>
        <w:t xml:space="preserve">CContinuous Professional Development:Administrators should receive regular training in change management, data analytics, and conflict resolution.</w:t>
      </w:r>
    </w:p>
    <w:p>
      <w:pPr>
        <w:numPr>
          <w:ilvl w:val="0"/>
          <w:numId w:val="1003"/>
        </w:numPr>
        <w:pStyle w:val="Compact"/>
      </w:pPr>
      <w:r>
        <w:t xml:space="preserve">Data-Driven Decision Making:Leveraging technology to track student performance and resource utilization can help administrators make more informed decisions tailored to the unique context of</w:t>
      </w:r>
    </w:p>
    <w:p>
      <w:pPr>
        <w:numPr>
          <w:ilvl w:val="0"/>
          <w:numId w:val="1000"/>
        </w:numPr>
        <w:pStyle w:val="Compact"/>
      </w:pPr>
      <w:r>
        <w:t xml:space="preserve">Nairobi.</w:t>
      </w:r>
    </w:p>
    <w:p>
      <w:pPr>
        <w:pStyle w:val="FirstParagraph"/>
      </w:pPr>
      <w:r>
        <w:t xml:space="preserve">The role of an</w:t>
      </w:r>
    </w:p>
    <w:p>
      <w:pPr>
        <w:pStyle w:val="BodyText"/>
      </w:pPr>
      <w:r>
        <w:t xml:space="preserve">Education Administratorin</w:t>
      </w:r>
    </w:p>
    <w:p>
      <w:pPr>
        <w:pStyle w:val="BodyText"/>
      </w:pPr>
      <w:r>
        <w:t xml:space="preserve">Nairobi, Kenya,is one of immense responsibility and opportunity. They are the linchpin in a system that is striving to balance tradition with modernity, equity with excellence, and local needs with global standards. As seen in the case study above, successful administrators are those who are adaptable, community-oriented, and innovative.</w:t>
      </w:r>
    </w:p>
    <w:p>
      <w:pPr>
        <w:pStyle w:val="BodyText"/>
      </w:pPr>
      <w:r>
        <w:t xml:space="preserve">By focusing on strategic leadership and resilient management practices, these professionals ensure that education remains a viable pathway out of poverty for millions of Kenyan youth. The experiences from</w:t>
      </w:r>
    </w:p>
    <w:p>
      <w:pPr>
        <w:pStyle w:val="BodyText"/>
      </w:pPr>
      <w:r>
        <w:t xml:space="preserve">Nairobioffer valuable lessons for other urban centers in Africa facing similar educational transitions. Ultimately, the strength of the nation’s future rests on the capability and dedication of its educational leaders.</w:t>
      </w:r>
    </w:p>
    <w:p>
      <w:pPr>
        <w:pStyle w:val="BodyText"/>
      </w:pPr>
      <w:r>
        <w:t xml:space="preserve">© 2023 Education Leadership Review. All Rights Reserved.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Educational Leadership in Kenya Nairobi</dc:title>
  <dc:creator/>
  <dc:language>en</dc:language>
  <cp:keywords/>
  <dcterms:created xsi:type="dcterms:W3CDTF">2026-07-29T14:16:04Z</dcterms:created>
  <dcterms:modified xsi:type="dcterms:W3CDTF">2026-07-29T14:16:04Z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