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30" w:name="Xa21494bbb4e44427d2f9929290198a7de32f985"/>
    <w:p>
      <w:pPr>
        <w:pStyle w:val="Heading1"/>
      </w:pPr>
      <w:r>
        <w:t xml:space="preserve">Case Study: Modernizing Educational Infrastructure and Curriculum in Malaysia Kuala Lumpur</w:t>
      </w:r>
    </w:p>
    <w:p>
      <w:pPr>
        <w:pStyle w:val="FirstParagraph"/>
      </w:pPr>
      <w:r>
        <w:rPr>
          <w:bCs/>
          <w:b/>
        </w:rPr>
        <w:t xml:space="preserve">Date:</w:t>
      </w:r>
      <w:r>
        <w:t xml:space="preserve"> </w:t>
      </w:r>
      <w:r>
        <w:t xml:space="preserve">October 24, 2023</w:t>
      </w:r>
      <w:r>
        <w:br/>
      </w:r>
    </w:p>
    <w:p>
      <w:pPr>
        <w:pStyle w:val="BodyText"/>
      </w:pPr>
      <w:r>
        <w:t xml:space="preserve">Malaysia Kuala Lumpur 1. Executive Summary</w:t>
      </w:r>
    </w:p>
    <w:p>
      <w:pPr>
        <w:pStyle w:val="BodyText"/>
      </w:pPr>
      <w:r>
        <w:t xml:space="preserve">.</w:t>
      </w:r>
    </w:p>
    <w:p>
      <w:pPr>
        <w:pStyle w:val="BodyText"/>
      </w:pPr>
      <w:r>
        <w:t xml:space="preserve">This Case Study examines the transformative efforts led by a senior Education Administrator within the vibrant and complex educational landscape of Malaysia Kuala Lumpur. As one of Southeast Asia’s most dynamic economic hubs, Malaysia Kuala Lumpur presents unique challenges and opportunities for educational institutions. This document outlines how strategic leadership, policy adaptation, and community engagement were utilized to modernize school infrastructure, enhance digital literacy among students, and improve teacher welfare systems. The primary objective was to align local educational outcomes with national goals while addressing the specific socioeconomic nuances of urban education.</w:t>
      </w:r>
    </w:p>
    <w:p>
      <w:pPr>
        <w:pStyle w:val="BodyText"/>
      </w:pPr>
      <w:r>
        <w:t xml:space="preserve">.</w:t>
      </w:r>
    </w:p>
    <w:bookmarkStart w:id="20" w:name="background-and-context"/>
    <w:p>
      <w:pPr>
        <w:pStyle w:val="Heading2"/>
      </w:pPr>
      <w:r>
        <w:t xml:space="preserve">2. Background and Context</w:t>
      </w:r>
    </w:p>
    <w:p>
      <w:pPr>
        <w:pStyle w:val="FirstParagraph"/>
      </w:pPr>
      <w:r>
        <w:t xml:space="preserve">.</w:t>
      </w:r>
    </w:p>
    <w:p>
      <w:pPr>
        <w:pStyle w:val="BodyText"/>
      </w:pPr>
      <w:r>
        <w:t xml:space="preserve">The city of Malaysia Kuala Lumpur serves as the political and economic capital, hosting a diverse population that includes expatriates, local residents from various ethnic backgrounds, and migrant workers’ children. Consequently, schools in this region are tasked with maintaining high academic standards while ensuring inclusivity and accessibility. For an Education Administrator operating in this environment, the role extends beyond mere administrative oversight; it requires a deep understanding of cultural dynamics, resource allocation complexities,.and the rapid pace of technological change.</w:t>
      </w:r>
    </w:p>
    <w:p>
      <w:pPr>
        <w:pStyle w:val="BodyText"/>
      </w:pPr>
      <w:r>
        <w:t xml:space="preserve">Historically, public institutions in Malaysia Kuala Lumpur faced challenges such as overcrowded classrooms, outdated curricula that did not fully reflect modern industry needs,.and a digital divide among lower-income student populations. The transition towards the Malaysia Education Blueprint 2013-2025 provided a framework for improvement, but local implementation required tailored strategies suited to the urban context.</w:t>
      </w:r>
    </w:p>
    <w:bookmarkEnd w:id="20"/>
    <w:bookmarkStart w:id="24" w:name="the-challenge"/>
    <w:p>
      <w:pPr>
        <w:pStyle w:val="Heading2"/>
      </w:pPr>
      <w:r>
        <w:t xml:space="preserve">3. The Challenge</w:t>
      </w:r>
    </w:p>
    <w:p>
      <w:pPr>
        <w:pStyle w:val="FirstParagraph"/>
      </w:pPr>
      <w:r>
        <w:t xml:space="preserve">.</w:t>
      </w:r>
    </w:p>
    <w:p>
      <w:pPr>
        <w:pStyle w:val="BodyText"/>
      </w:pPr>
      <w:r>
        <w:t xml:space="preserve">The central challenge identified by the Education Administrator was multifaceted:</w:t>
      </w:r>
    </w:p>
    <w:p>
      <w:pPr>
        <w:numPr>
          <w:ilvl w:val="0"/>
          <w:numId w:val="1001"/>
        </w:numPr>
        <w:pStyle w:val="Compact"/>
      </w:pPr>
      <w:r>
        <w:rPr>
          <w:bCs/>
          <w:b/>
        </w:rPr>
        <w:t xml:space="preserve">Digital Inequality:</w:t>
      </w:r>
      <w:r>
        <w:t xml:space="preserve"> </w:t>
      </w:r>
      <w:r>
        <w:t xml:space="preserve">While Malaysia Kuala Lumpur is a tech-savvy city, not all students had equal access to high-speed internet or modern computing devices, leading to disparities in learning outcomes.</w:t>
      </w:r>
    </w:p>
    <w:p>
      <w:pPr>
        <w:numPr>
          <w:ilvl w:val="0"/>
          <w:numId w:val="1001"/>
        </w:numPr>
        <w:pStyle w:val="Compact"/>
      </w:pPr>
      <w:r>
        <w:rPr>
          <w:bCs/>
          <w:b/>
        </w:rPr>
        <w:t xml:space="preserve">Talent Retention:</w:t>
      </w:r>
      <w:r>
        <w:t xml:space="preserve">.There was a growing shortage of qualified STEM (Science, Technology, Engineering, and Mathematics) teachers willing to work in high-pressure urban environments.</w:t>
      </w:r>
    </w:p>
    <w:p>
      <w:pPr>
        <w:numPr>
          <w:ilvl w:val="0"/>
          <w:numId w:val="1001"/>
        </w:numPr>
        <w:pStyle w:val="Compact"/>
      </w:pPr>
      <w:r>
        <w:rPr>
          <w:bCs/>
          <w:b/>
        </w:rPr>
        <w:t xml:space="preserve">Curriculum Relevance:</w:t>
      </w:r>
      <w:r>
        <w:t xml:space="preserve">.Parents and industry leaders expressed concern that traditional rote-learning methods were insufficient for preparing students for the global job market.</w:t>
      </w:r>
    </w:p>
    <w:p>
      <w:pPr>
        <w:pStyle w:val="FirstParagraph"/>
      </w:pPr>
      <w:r>
        <w:t xml:space="preserve">The Education Administrator needed a comprehensive plan that would not only address these immediate issues but also foster a sustainable culture of continuous improvement within the schools under their jurisdiction.</w:t>
      </w:r>
    </w:p>
    <w:p>
      <w:pPr>
        <w:pStyle w:val="BodyText"/>
      </w:pPr>
      <w:r>
        <w:t xml:space="preserve">.</w:t>
      </w:r>
    </w:p>
    <w:p>
      <w:pPr>
        <w:pStyle w:val="BodyText"/>
      </w:pPr>
      <w:r>
        <w:t xml:space="preserve">To tackle these challenges, the Education Administrator implemented several key initiatives designed specifically for the Malaysia Kuala Lumpur context:</w:t>
      </w:r>
    </w:p>
    <w:bookmarkStart w:id="21" w:name="the-smart-campus-initiative"/>
    <w:p>
      <w:pPr>
        <w:pStyle w:val="Heading3"/>
      </w:pPr>
      <w:r>
        <w:t xml:space="preserve">4.1 The "Smart Campus" Initiative</w:t>
      </w:r>
    </w:p>
    <w:p>
      <w:pPr>
        <w:pStyle w:val="FirstParagraph"/>
      </w:pPr>
      <w:r>
        <w:t xml:space="preserve">.</w:t>
      </w:r>
    </w:p>
    <w:p>
      <w:pPr>
        <w:pStyle w:val="BodyText"/>
      </w:pPr>
      <w:r>
        <w:t xml:space="preserve">Leveraging partnerships with local technology firms in Malaysia Kuala Lumpur’s business districts, the administrator launched a pilot program to equip classrooms with smart boards and high-speed connectivity. This initiative was not merely about hardware; it included extensive training for teachers to integrate digital tools into their pedagogy. By creating "Digital Hubs" within schools, students from lower-income households were provided after-school access to technology, thereby bridging the digital divide.</w:t>
      </w:r>
    </w:p>
    <w:bookmarkEnd w:id="21"/>
    <w:bookmarkStart w:id="22" w:name="Xcf6ffd550b451c4e8b7d4bb872c0e28ef2dbb4e"/>
    <w:p>
      <w:pPr>
        <w:pStyle w:val="Heading3"/>
      </w:pPr>
      <w:r>
        <w:t xml:space="preserve">4.2 Community-Driven Teacher Support Programs</w:t>
      </w:r>
    </w:p>
    <w:p>
      <w:pPr>
        <w:pStyle w:val="FirstParagraph"/>
      </w:pPr>
      <w:r>
        <w:t xml:space="preserve">.</w:t>
      </w:r>
    </w:p>
    <w:p>
      <w:pPr>
        <w:pStyle w:val="BodyText"/>
      </w:pPr>
      <w:r>
        <w:t xml:space="preserve">To address talent retention, the Education Administrator introduced a mentorship program pairing experienced educators with new recruits. Additionally,.mental health support and stress management workshops were integrated into the school calendar. Recognizing that teacher well-being directly impacts student success, these measures helped reduce burnout rates significantly.</w:t>
      </w:r>
    </w:p>
    <w:bookmarkEnd w:id="22"/>
    <w:bookmarkStart w:id="23" w:name="industry-academia-partnerships"/>
    <w:p>
      <w:pPr>
        <w:pStyle w:val="Heading3"/>
      </w:pPr>
      <w:r>
        <w:t xml:space="preserve">4.3 Industry-Academia Partnerships</w:t>
      </w:r>
    </w:p>
    <w:p>
      <w:pPr>
        <w:pStyle w:val="FirstParagraph"/>
      </w:pPr>
      <w:r>
        <w:t xml:space="preserve">.</w:t>
      </w:r>
    </w:p>
    <w:p>
      <w:pPr>
        <w:pStyle w:val="BodyText"/>
      </w:pPr>
      <w:r>
        <w:t xml:space="preserve">Innovative collaborations were established with multinational corporations headquartered in Malaysia Kuala Lumpur. These partnerships allowed for internship programs and guest lectures by industry professionals, exposing students to real-world applications of their studies. This approach revitalized the curriculum, making it more relevant and engaging for learners.</w:t>
      </w:r>
    </w:p>
    <w:bookmarkEnd w:id="23"/>
    <w:bookmarkEnd w:id="24"/>
    <w:bookmarkStart w:id="25" w:name="implementation-process"/>
    <w:p>
      <w:pPr>
        <w:pStyle w:val="Heading2"/>
      </w:pPr>
      <w:r>
        <w:t xml:space="preserve">5. Implementation Process</w:t>
      </w:r>
    </w:p>
    <w:p>
      <w:pPr>
        <w:pStyle w:val="FirstParagraph"/>
      </w:pPr>
      <w:r>
        <w:t xml:space="preserve">.</w:t>
      </w:r>
    </w:p>
    <w:p>
      <w:pPr>
        <w:pStyle w:val="BodyText"/>
      </w:pPr>
      <w:r>
        <w:t xml:space="preserve">The implementation phase required meticulous planning and stakeholder engagement. The Education Administrator held town hall meetings with parents,.community leaders, and government officials to ensure transparency and gather feedback. A phased rollout strategy was adopted, starting with five pilot schools in different districts of Malaysia Kuala Lumpur before scaling up region-wide.</w:t>
      </w:r>
    </w:p>
    <w:p>
      <w:pPr>
        <w:pStyle w:val="BodyText"/>
      </w:pPr>
      <w:r>
        <w:t xml:space="preserve">Data collection mechanisms were established to monitor progress, including regular assessments of student performance surveys on teacher satisfaction,,and audits of resource utilization. This data-driven approach allowed for agile adjustments to the strategies based on real-time evidence.</w:t>
      </w:r>
    </w:p>
    <w:bookmarkEnd w:id="25"/>
    <w:bookmarkStart w:id="26" w:name="outcomes-and-impact"/>
    <w:p>
      <w:pPr>
        <w:pStyle w:val="Heading2"/>
      </w:pPr>
      <w:r>
        <w:t xml:space="preserve">6. Outcomes and Impact</w:t>
      </w:r>
    </w:p>
    <w:p>
      <w:pPr>
        <w:pStyle w:val="FirstParagraph"/>
      </w:pPr>
      <w:r>
        <w:t xml:space="preserve">.</w:t>
      </w:r>
    </w:p>
    <w:p>
      <w:pPr>
        <w:pStyle w:val="BodyText"/>
      </w:pPr>
      <w:r>
        <w:t xml:space="preserve">After two years of implementation, the results were promising:</w:t>
      </w:r>
    </w:p>
    <w:p>
      <w:pPr>
        <w:numPr>
          <w:ilvl w:val="0"/>
          <w:numId w:val="1002"/>
        </w:numPr>
        <w:pStyle w:val="Compact"/>
      </w:pPr>
      <w:r>
        <w:rPr>
          <w:bCs/>
          <w:b/>
        </w:rPr>
        <w:t xml:space="preserve">Improved Academic Performance:</w:t>
      </w:r>
      <w:r>
        <w:t xml:space="preserve">. Schools participating in the Smart Campus Initiative saw a 15% increase in standardized test scores, particularly in mathematics and science.</w:t>
      </w:r>
    </w:p>
    <w:p>
      <w:pPr>
        <w:numPr>
          <w:ilvl w:val="0"/>
          <w:numId w:val="1002"/>
        </w:numPr>
        <w:pStyle w:val="Compact"/>
      </w:pPr>
      <w:r>
        <w:rPr>
          <w:bCs/>
          <w:b/>
        </w:rPr>
        <w:t xml:space="preserve">Tech Literacy Boost:</w:t>
      </w:r>
      <w:r>
        <w:t xml:space="preserve">. Student proficiency in digital skills improved markedly, with many schools reporting that their graduates were better prepared for tertiary education and employment.</w:t>
      </w:r>
    </w:p>
    <w:p>
      <w:pPr>
        <w:numPr>
          <w:ilvl w:val="0"/>
          <w:numId w:val="1002"/>
        </w:numPr>
        <w:pStyle w:val="Compact"/>
      </w:pPr>
      <w:r>
        <w:rPr>
          <w:bCs/>
          <w:b/>
        </w:rPr>
        <w:t xml:space="preserve">Teacher Satisfaction:</w:t>
      </w:r>
      <w:r>
        <w:t xml:space="preserve">. Reports indicated a 20% decrease in teacher turnover rates, attributed largely to the enhanced support systems and reduced workload pressures.</w:t>
      </w:r>
    </w:p>
    <w:p>
      <w:pPr>
        <w:numPr>
          <w:ilvl w:val="0"/>
          <w:numId w:val="1002"/>
        </w:numPr>
        <w:pStyle w:val="Compact"/>
      </w:pPr>
      <w:r>
        <w:rPr>
          <w:bCs/>
          <w:b/>
        </w:rPr>
        <w:t xml:space="preserve">Community Engagement:</w:t>
      </w:r>
      <w:r>
        <w:t xml:space="preserve">. Parental involvement in school activities increased by 35%, fostering a stronger sense of community ownership over educational outcomes.</w:t>
      </w:r>
    </w:p>
    <w:p>
      <w:pPr>
        <w:pStyle w:val="FirstParagraph"/>
      </w:pPr>
      <w:r>
        <w:t xml:space="preserve">Key Insight:.</w:t>
      </w:r>
    </w:p>
    <w:p>
      <w:pPr>
        <w:pStyle w:val="BodyText"/>
      </w:pPr>
      <w:r>
        <w:t xml:space="preserve">.</w:t>
      </w:r>
    </w:p>
    <w:bookmarkEnd w:id="26"/>
    <w:bookmarkStart w:id="27" w:name="challenges-encountered"/>
    <w:p>
      <w:pPr>
        <w:pStyle w:val="Heading2"/>
      </w:pPr>
      <w:r>
        <w:t xml:space="preserve">7. Challenges Encountered</w:t>
      </w:r>
    </w:p>
    <w:p>
      <w:pPr>
        <w:pStyle w:val="FirstParagraph"/>
      </w:pPr>
      <w:r>
        <w:t xml:space="preserve">.</w:t>
      </w:r>
    </w:p>
    <w:p>
      <w:pPr>
        <w:pStyle w:val="BodyText"/>
      </w:pPr>
      <w:r>
        <w:t xml:space="preserve">Despite the successes, several hurdles were encountered. Bureaucratic delays in procurement processes slowed down the initial rollout of technology. Additionally,.resistance to change among some senior staff members required careful negotiation and persuasion. Cultural nuances also played a role; ensuring that digital content was culturally sensitive and inclusive across Malaysia’s diverse ethnic groups demanded constant vigilance and adaptation.</w:t>
      </w:r>
    </w:p>
    <w:bookmarkEnd w:id="27"/>
    <w:bookmarkStart w:id="28" w:name="lessons-learned"/>
    <w:p>
      <w:pPr>
        <w:pStyle w:val="Heading2"/>
      </w:pPr>
      <w:r>
        <w:t xml:space="preserve">.8. Lessons Learned</w:t>
      </w:r>
    </w:p>
    <w:p>
      <w:pPr>
        <w:pStyle w:val="FirstParagraph"/>
      </w:pPr>
      <w:r>
        <w:t xml:space="preserve">.</w:t>
      </w:r>
    </w:p>
    <w:p>
      <w:pPr>
        <w:pStyle w:val="BodyText"/>
      </w:pPr>
      <w:r>
        <w:t xml:space="preserve">This Case Study offers several critical lessons for other Education Administrators operating in urban centers:</w:t>
      </w:r>
    </w:p>
    <w:p>
      <w:pPr>
        <w:numPr>
          <w:ilvl w:val="0"/>
          <w:numId w:val="1003"/>
        </w:numPr>
        <w:pStyle w:val="Compact"/>
      </w:pPr>
      <w:r>
        <w:rPr>
          <w:bCs/>
          <w:b/>
        </w:rPr>
        <w:t xml:space="preserve">Context is Key:</w:t>
      </w:r>
    </w:p>
    <w:p>
      <w:pPr>
        <w:numPr>
          <w:ilvl w:val="0"/>
          <w:numId w:val="1003"/>
        </w:numPr>
        <w:pStyle w:val="Compact"/>
      </w:pPr>
      <w:r>
        <w:rPr>
          <w:bCs/>
          <w:b/>
        </w:rPr>
        <w:t xml:space="preserve">.Stakeholder Engagement:</w:t>
      </w:r>
      <w:r>
        <w:t xml:space="preserve">. Early and continuous engagement with all stakeholders builds trust and facilitates smoother implementation.</w:t>
      </w:r>
    </w:p>
    <w:p>
      <w:pPr>
        <w:numPr>
          <w:ilvl w:val="0"/>
          <w:numId w:val="1003"/>
        </w:numPr>
        <w:pStyle w:val="Compact"/>
      </w:pPr>
      <w:r>
        <w:rPr>
          <w:bCs/>
          <w:b/>
        </w:rPr>
        <w:t xml:space="preserve">Data-Driven Decision Making:</w:t>
      </w:r>
    </w:p>
    <w:p>
      <w:pPr>
        <w:numPr>
          <w:ilvl w:val="0"/>
          <w:numId w:val="1003"/>
        </w:numPr>
        <w:pStyle w:val="Compact"/>
      </w:pPr>
      <w:r>
        <w:t xml:space="preserve">Holistic Approach:. Addressing teacher well-being is just as important as improving student academic metrics.</w:t>
      </w:r>
    </w:p>
    <w:bookmarkEnd w:id="28"/>
    <w:bookmarkStart w:id="29" w:name="conclusion"/>
    <w:p>
      <w:pPr>
        <w:pStyle w:val="Heading2"/>
      </w:pPr>
      <w:r>
        <w:t xml:space="preserve">.9. Conclusion</w:t>
      </w:r>
    </w:p>
    <w:p>
      <w:pPr>
        <w:pStyle w:val="FirstParagraph"/>
      </w:pPr>
      <w:r>
        <w:t xml:space="preserve">.</w:t>
      </w:r>
    </w:p>
    <w:p>
      <w:pPr>
        <w:pStyle w:val="BodyText"/>
      </w:pPr>
      <w:r>
        <w:t xml:space="preserve">The experiences of this Education Administrator in Malaysia Kuala Lumpur demonstrate that effective educational leadership requires a blend of strategic vision, operational excellence, and empathetic management. By addressing the unique challenges of urban education through innovative partnerships and community-focused strategies,.significant improvements were achieved in both academic outcomes and institutional culture. This Case Study serves as a blueprint for other administrators seeking to drive meaningful change in their own jurisdictions, highlighting the importance of adaptability and collaboration.</w:t>
      </w:r>
    </w:p>
    <w:p>
      <w:pPr>
        <w:pStyle w:val="BodyText"/>
      </w:pPr>
      <w:r>
        <w:t xml:space="preserve">As Malaysia Kuala Lumpur continues to evolve as a global city, its educational institutions must remain agile and forward-thinking. The efforts detailed herein provide a robust framework for achieving that goal, ensuring that future generations are equipped with the skills and values necessary to thrive in an increasingly complex world.</w:t>
      </w:r>
    </w:p>
    <w:p>
      <w:pPr>
        <w:pStyle w:val="BodyText"/>
      </w:pPr>
      <w:r>
        <w:t xml:space="preserve">.</w:t>
      </w:r>
    </w:p>
    <w:p>
      <w:pPr>
        <w:pStyle w:val="BodyText"/>
      </w:pPr>
      <w:r>
        <w:t xml:space="preserve">© 2023 Education Strategy Review.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dc:title>
  <dc:creator/>
  <dc:language>en</dc:language>
  <cp:keywords/>
  <dcterms:created xsi:type="dcterms:W3CDTF">2026-07-29T11:16:51Z</dcterms:created>
  <dcterms:modified xsi:type="dcterms:W3CDTF">2026-07-29T11:16:51Z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