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Morocco</w:t>
      </w:r>
      <w:r>
        <w:t xml:space="preserve"> </w:t>
      </w:r>
      <w:r>
        <w:t xml:space="preserve">Casablanca</w:t>
      </w:r>
    </w:p>
    <w:bookmarkStart w:id="32" w:name="Xb330f605187e2e5f4adf2439d017206dbe6da6d"/>
    <w:p>
      <w:pPr>
        <w:pStyle w:val="Heading1"/>
      </w:pPr>
      <w:r>
        <w:t xml:space="preserve">Transforming Urban Education: A Case Study of the Education Administrator in Morocco Casablanca</w:t>
      </w:r>
    </w:p>
    <w:p>
      <w:pPr>
        <w:pStyle w:val="FirstParagraph"/>
      </w:pPr>
      <w:r>
        <w:rPr>
          <w:bCs/>
          <w:b/>
        </w:rPr>
        <w:t xml:space="preserve">Date:</w:t>
      </w:r>
      <w:r>
        <w:t xml:space="preserve"> </w:t>
      </w:r>
      <w:r>
        <w:t xml:space="preserve">October 2023</w:t>
      </w:r>
      <w:r>
        <w:br/>
      </w:r>
      <w:r>
        <w:rPr>
          <w:bCs/>
          <w:b/>
        </w:rPr>
        <w:t xml:space="preserve">Candidate Role:</w:t>
      </w:r>
      <w:r>
        <w:t xml:space="preserve">School Principal / District Education Administrator</w:t>
      </w:r>
      <w:r>
        <w:br/>
      </w:r>
    </w:p>
    <w:p>
      <w:pPr>
        <w:pStyle w:val="BodyText"/>
      </w:pPr>
      <w:r>
        <w:t xml:space="preserve"> </w:t>
      </w:r>
      <w:r>
        <w:t xml:space="preserve">&gt;Casablanca, Morocco</w:t>
      </w:r>
    </w:p>
    <w:p>
      <w:pPr>
        <w:pStyle w:val="BodyText"/>
      </w:pPr>
      <w:r>
        <w:t xml:space="preserve">&lt; strong&gt;&lt; em&gt;Context Summary: This case study explores the multifaceted challenges and strategic interventions required by an Education Administrator operating within the dynamic and complex educational landscape of Casablanca, Morocco. It highlights the balance between national mandates from the Ministry of National Education and local community needs.</w:t>
      </w:r>
    </w:p>
    <w:bookmarkStart w:id="20" w:name="introduction"/>
    <w:p>
      <w:pPr>
        <w:pStyle w:val="Heading2"/>
      </w:pPr>
      <w:r>
        <w:t xml:space="preserve">1. Introduction</w:t>
      </w:r>
    </w:p>
    <w:p>
      <w:pPr>
        <w:pStyle w:val="FirstParagraph"/>
      </w:pPr>
      <w:r>
        <w:t xml:space="preserve">In recent years, Morocco has undergone significant educational reforms aimed at modernizing its curriculum, improving infrastructure, and enhancing teacher training. At the heart of these reforms lies the role of the</w:t>
      </w:r>
      <w:r>
        <w:t xml:space="preserve"> </w:t>
      </w:r>
      <w:r>
        <w:rPr>
          <w:bCs/>
          <w:b/>
        </w:rPr>
        <w:t xml:space="preserve">Educational Administrator</w:t>
      </w:r>
      <w:r>
        <w:t xml:space="preserve">, a pivotal figure responsible for translating policy into practice. This case study focuses on a specific</w:t>
      </w:r>
      <w:r>
        <w:t xml:space="preserve"> </w:t>
      </w:r>
      <w:r>
        <w:rPr>
          <w:bCs/>
          <w:b/>
        </w:rPr>
        <w:t xml:space="preserve">Education Administrator</w:t>
      </w:r>
      <w:r>
        <w:t xml:space="preserve"> </w:t>
      </w:r>
      <w:r>
        <w:t xml:space="preserve">operating in Casablanca, Morocco’s economic capital and largest city. Casablanca presents a unique microcosm of Moroccan society, characterized by rapid urbanization, socioeconomic disparities, and a diverse population ranging from traditional families to expatriates. The administrator’s task is not merely managerial but deeply pedagogical and social.</w:t>
      </w:r>
    </w:p>
    <w:p>
      <w:pPr>
        <w:pStyle w:val="BodyText"/>
      </w:pPr>
      <w:r>
        <w:t xml:space="preserve">The primary objective of this case study is to analyze how an</w:t>
      </w:r>
      <w:r>
        <w:t xml:space="preserve"> </w:t>
      </w:r>
      <w:r>
        <w:rPr>
          <w:bCs/>
          <w:b/>
        </w:rPr>
        <w:t xml:space="preserve">Education Administrator</w:t>
      </w:r>
      <w:r>
        <w:t xml:space="preserve"> </w:t>
      </w:r>
      <w:r>
        <w:t xml:space="preserve">in</w:t>
      </w:r>
      <w:r>
        <w:t xml:space="preserve"> </w:t>
      </w:r>
      <w:r>
        <w:rPr>
          <w:bCs/>
          <w:b/>
        </w:rPr>
        <w:t xml:space="preserve">Morocco Casablanca</w:t>
      </w:r>
      <w:r>
        <w:t xml:space="preserve"> </w:t>
      </w:r>
      <w:r>
        <w:t xml:space="preserve">navigates the intersection of bureaucratic requirements, cultural expectations, and the urgent need for educational equity. By examining specific challenges such as language transition (Arabic/French/English), infrastructure constraints in informal settlements (</w:t>
      </w:r>
      <w:r>
        <w:rPr>
          <w:iCs/>
          <w:i/>
        </w:rPr>
        <w:t xml:space="preserve">kasbahs</w:t>
      </w:r>
      <w:r>
        <w:t xml:space="preserve">), and parent-teacher engagement, we can derive best practices for urban education management in developing contexts.</w:t>
      </w:r>
    </w:p>
    <w:bookmarkEnd w:id="20"/>
    <w:bookmarkStart w:id="23" w:name="the-operational-landscape-of-casablanca"/>
    <w:p>
      <w:pPr>
        <w:pStyle w:val="Heading2"/>
      </w:pPr>
      <w:r>
        <w:t xml:space="preserve">2. The Operational Landscape of Casablanca</w:t>
      </w:r>
    </w:p>
    <w:p>
      <w:pPr>
        <w:pStyle w:val="FirstParagraph"/>
      </w:pPr>
      <w:r>
        <w:t xml:space="preserve">Casablanca is home to over 3.5 million inhabitants, creating immense pressure on public services, including schools. The</w:t>
      </w:r>
      <w:r>
        <w:t xml:space="preserve"> </w:t>
      </w:r>
      <w:r>
        <w:rPr>
          <w:bCs/>
          <w:b/>
        </w:rPr>
        <w:t xml:space="preserve">Education Administrator</w:t>
      </w:r>
      <w:r>
        <w:t xml:space="preserve"> </w:t>
      </w:r>
      <w:r>
        <w:t xml:space="preserve">oversees a cluster of schools that vary drastically in quality and resources. On one end are well-funded international private institutions; on the other, overcrowded state-run schools in densely populated neighborhoods like Sidi Moumen or Hay Mohammadi.</w:t>
      </w:r>
    </w:p>
    <w:bookmarkStart w:id="21" w:name="demographic-challenges"/>
    <w:p>
      <w:pPr>
        <w:pStyle w:val="Heading3"/>
      </w:pPr>
      <w:r>
        <w:t xml:space="preserve">2.1 Demographic Challenges</w:t>
      </w:r>
    </w:p>
    <w:p>
      <w:pPr>
        <w:pStyle w:val="FirstParagraph"/>
      </w:pPr>
      <w:r>
        <w:t xml:space="preserve">The student body in Casablanca is heterogeneous. A significant challenge for the</w:t>
      </w:r>
      <w:r>
        <w:t xml:space="preserve"> </w:t>
      </w:r>
      <w:r>
        <w:rPr>
          <w:bCs/>
          <w:b/>
        </w:rPr>
        <w:t xml:space="preserve">Education Administrator</w:t>
      </w:r>
      <w:r>
        <w:t xml:space="preserve"> </w:t>
      </w:r>
      <w:r>
        <w:t xml:space="preserve">is addressing the "double disadvantage" faced by students from low-income areas: limited access to early childhood education and a home environment where French, the primary language of instruction in secondary sciences, may not be spoken. The administrator must implement bridging programs to ensure linguistic proficiency without stigmatizing students.</w:t>
      </w:r>
    </w:p>
    <w:bookmarkEnd w:id="21"/>
    <w:bookmarkStart w:id="22" w:name="infrastructure-and-resources"/>
    <w:p>
      <w:pPr>
        <w:pStyle w:val="Heading3"/>
      </w:pPr>
      <w:r>
        <w:t xml:space="preserve">2.2 Infrastructure and Resources</w:t>
      </w:r>
    </w:p>
    <w:p>
      <w:pPr>
        <w:pStyle w:val="FirstParagraph"/>
      </w:pPr>
      <w:r>
        <w:t xml:space="preserve">Despite government efforts to rehabilitate school buildings, many institutions in</w:t>
      </w:r>
      <w:r>
        <w:t xml:space="preserve"> </w:t>
      </w:r>
      <w:r>
        <w:rPr>
          <w:bCs/>
          <w:b/>
        </w:rPr>
        <w:t xml:space="preserve">Morocco Casablanca</w:t>
      </w:r>
      <w:r>
        <w:t xml:space="preserve"> </w:t>
      </w:r>
      <w:r>
        <w:t xml:space="preserve">face issues with overcrowding, lack of laboratory equipment, and insufficient digital tools. The administrator’s role involves strategic resource allocation, leveraging limited budgets to prioritize critical needs such as safety upgrades and basic technological integration.</w:t>
      </w:r>
    </w:p>
    <w:bookmarkEnd w:id="22"/>
    <w:bookmarkEnd w:id="23"/>
    <w:bookmarkStart w:id="27" w:name="strategic-interventions-implemented"/>
    <w:p>
      <w:pPr>
        <w:pStyle w:val="Heading2"/>
      </w:pPr>
      <w:r>
        <w:t xml:space="preserve">3. Strategic Interventions Implemented</w:t>
      </w:r>
    </w:p>
    <w:p>
      <w:pPr>
        <w:pStyle w:val="FirstParagraph"/>
      </w:pPr>
      <w:r>
        <w:t xml:space="preserve">To address these systemic issues, the</w:t>
      </w:r>
      <w:r>
        <w:t xml:space="preserve"> </w:t>
      </w:r>
      <w:r>
        <w:rPr>
          <w:bCs/>
          <w:b/>
        </w:rPr>
        <w:t xml:space="preserve">Education Administrator</w:t>
      </w:r>
      <w:r>
        <w:t xml:space="preserve"> </w:t>
      </w:r>
      <w:r>
        <w:t xml:space="preserve">in this case study adopted a three-pillar strategy: Community Engagement, Teacher Capacity Building, and Digital Inclusion.</w:t>
      </w:r>
    </w:p>
    <w:bookmarkStart w:id="24" w:name="X50f79ebab5add09e368becaa352185de8187a75"/>
    <w:p>
      <w:pPr>
        <w:pStyle w:val="Heading3"/>
      </w:pPr>
      <w:r>
        <w:t xml:space="preserve">Pillar 1: Strengthening Parental and Community Engagement</w:t>
      </w:r>
    </w:p>
    <w:p>
      <w:pPr>
        <w:pStyle w:val="FirstParagraph"/>
      </w:pPr>
      <w:r>
        <w:t xml:space="preserve">In many parts of Casablanca, parents are often disconnected from the school system due to long working hours or low literacy levels. The administrator initiated "Community Education Councils" that include local religious leaders, neighborhood associations, and parents. These councils serve as forums for dialogue rather than mere compliance bodies. By involving community leaders in promoting the value of education, especially for girls in conservative neighborhoods, attendance rates improved by 12% over two years.</w:t>
      </w:r>
    </w:p>
    <w:bookmarkEnd w:id="24"/>
    <w:bookmarkStart w:id="25" w:name="pillar-2-teacher-training-and-motivation"/>
    <w:p>
      <w:pPr>
        <w:pStyle w:val="Heading3"/>
      </w:pPr>
      <w:r>
        <w:t xml:space="preserve">Pillar 2: Teacher Training and Motivation</w:t>
      </w:r>
    </w:p>
    <w:p>
      <w:pPr>
        <w:pStyle w:val="FirstParagraph"/>
      </w:pPr>
      <w:r>
        <w:t xml:space="preserve">The quality of education is directly tied to the quality of teaching. The</w:t>
      </w:r>
      <w:r>
        <w:t xml:space="preserve"> </w:t>
      </w:r>
      <w:r>
        <w:rPr>
          <w:bCs/>
          <w:b/>
        </w:rPr>
        <w:t xml:space="preserve">Education Administrator</w:t>
      </w:r>
      <w:r>
        <w:t xml:space="preserve"> </w:t>
      </w:r>
      <w:r>
        <w:t xml:space="preserve">collaborated with the Regional Academy for Education and Training (AREF) to organize localized professional development workshops. Instead of generic national training, sessions focused on specific classroom management techniques for multi-grade classrooms and differentiated instruction for students with varying language proficiencies. Furthermore, the administrator established a mentorship program where experienced teachers guided newcomers, fostering a culture of collaboration rather than competition.</w:t>
      </w:r>
    </w:p>
    <w:bookmarkEnd w:id="25"/>
    <w:bookmarkStart w:id="26" w:name="pillar-3-digital-inclusion-initiatives"/>
    <w:p>
      <w:pPr>
        <w:pStyle w:val="Heading3"/>
      </w:pPr>
      <w:r>
        <w:t xml:space="preserve">Pillar 3: Digital Inclusion Initiatives</w:t>
      </w:r>
    </w:p>
    <w:p>
      <w:pPr>
        <w:pStyle w:val="FirstParagraph"/>
      </w:pPr>
      <w:r>
        <w:t xml:space="preserve">Recognizing the digital divide as a major barrier to future employability, the administrator launched pilot projects introducing coding and basic computer literacy in upper-primary schools. Partnerships with local tech startups in Casablanca provided hardware and volunteer instructors. This initiative not only enhanced technical skills but also boosted student motivation by connecting curriculum to real-world applications.</w:t>
      </w:r>
    </w:p>
    <w:bookmarkEnd w:id="26"/>
    <w:bookmarkEnd w:id="27"/>
    <w:bookmarkStart w:id="28" w:name="X9344b775acc329d9cf0b3c3f8dfa9eaf4de839f"/>
    <w:p>
      <w:pPr>
        <w:pStyle w:val="Heading2"/>
      </w:pPr>
      <w:r>
        <w:t xml:space="preserve">4. Challenges Faced by the Education Administrator</w:t>
      </w:r>
    </w:p>
    <w:p>
      <w:pPr>
        <w:pStyle w:val="FirstParagraph"/>
      </w:pPr>
      <w:r>
        <w:t xml:space="preserve">The journey was not without significant hurdles. The</w:t>
      </w:r>
      <w:r>
        <w:t xml:space="preserve"> </w:t>
      </w:r>
      <w:r>
        <w:rPr>
          <w:bCs/>
          <w:b/>
        </w:rPr>
        <w:t xml:space="preserve">Education Administrator</w:t>
      </w:r>
      <w:r>
        <w:t xml:space="preserve"> </w:t>
      </w:r>
      <w:r>
        <w:t xml:space="preserve">in</w:t>
      </w:r>
      <w:r>
        <w:t xml:space="preserve"> </w:t>
      </w:r>
      <w:r>
        <w:rPr>
          <w:bCs/>
          <w:b/>
        </w:rPr>
        <w:t xml:space="preserve">Morocco Casablanca</w:t>
      </w:r>
      <w:r>
        <w:t xml:space="preserve"> </w:t>
      </w:r>
      <w:r>
        <w:t xml:space="preserve">frequently encountered resistance from rigid bureaucratic structures that slowed down decision-making processes. Additionally, socio-political tensions occasionally spilled into school environments, requiring the administrator to act as a mediator to maintain a safe and neutral learning space.</w:t>
      </w:r>
    </w:p>
    <w:p>
      <w:pPr>
        <w:pStyle w:val="BodyText"/>
      </w:pPr>
      <w:r>
        <w:t xml:space="preserve">Financial constraints were another persistent challenge. While the Moroccan government has increased its education budget, the sheer scale of need in Casablanca means that funds are often stretched thin. The administrator had to become adept at grant writing and securing sponsorships from private enterprises, a skill set traditionally outside the scope of public sector roles.</w:t>
      </w:r>
    </w:p>
    <w:bookmarkEnd w:id="28"/>
    <w:bookmarkStart w:id="29" w:name="outcomes-and-impact-assessment"/>
    <w:p>
      <w:pPr>
        <w:pStyle w:val="Heading2"/>
      </w:pPr>
      <w:r>
        <w:t xml:space="preserve">5. Outcomes and Impact Assessment</w:t>
      </w:r>
    </w:p>
    <w:p>
      <w:pPr>
        <w:pStyle w:val="FirstParagraph"/>
      </w:pPr>
      <w:r>
        <w:t xml:space="preserve">After three years of implementing these strategies, measurable outcomes emerged:</w:t>
      </w:r>
    </w:p>
    <w:p>
      <w:pPr>
        <w:numPr>
          <w:ilvl w:val="0"/>
          <w:numId w:val="1001"/>
        </w:numPr>
        <w:pStyle w:val="Compact"/>
      </w:pPr>
      <w:r>
        <w:rPr>
          <w:bCs/>
          <w:b/>
        </w:rPr>
        <w:t xml:space="preserve">Baccalaureate Success Rates:</w:t>
      </w:r>
      <w:r>
        <w:t xml:space="preserve">The pass rate in state schools under this administrator’s supervision increased by 18%, outperforming the national average.</w:t>
      </w:r>
    </w:p>
    <w:p>
      <w:pPr>
        <w:numPr>
          <w:ilvl w:val="0"/>
          <w:numId w:val="1001"/>
        </w:numPr>
        <w:pStyle w:val="Compact"/>
      </w:pPr>
      <w:r>
        <w:rPr>
          <w:bCs/>
          <w:b/>
        </w:rPr>
        <w:t xml:space="preserve">Droput Rate Reduction:</w:t>
      </w:r>
      <w:r>
        <w:t xml:space="preserve">A decline of 9% in dropout rates, particularly among adolescent girls, attributed to enhanced safety measures and community support systems.</w:t>
      </w:r>
    </w:p>
    <w:p>
      <w:pPr>
        <w:numPr>
          <w:ilvl w:val="0"/>
          <w:numId w:val="1001"/>
        </w:numPr>
        <w:pStyle w:val="Compact"/>
      </w:pPr>
      <w:r>
        <w:rPr>
          <w:bCs/>
          <w:b/>
        </w:rPr>
        <w:t xml:space="preserve">Teacher Retention:</w:t>
      </w:r>
    </w:p>
    <w:p>
      <w:pPr>
        <w:numPr>
          <w:ilvl w:val="0"/>
          <w:numId w:val="1001"/>
        </w:numPr>
        <w:pStyle w:val="Compact"/>
      </w:pPr>
      <w:r>
        <w:rPr>
          <w:bCs/>
          <w:b/>
        </w:rPr>
        <w:t xml:space="preserve">Social Cohesion:</w:t>
      </w:r>
      <w:r>
        <w:t xml:space="preserve">Schools became more integrated spaces where students from different socioeconomic backgrounds interacted positively, reducing social fragmentation.</w:t>
      </w:r>
    </w:p>
    <w:bookmarkEnd w:id="29"/>
    <w:bookmarkStart w:id="30" w:name="Xf57e06e360b3c2b31fe8302179ea35c5d4657fa"/>
    <w:p>
      <w:pPr>
        <w:pStyle w:val="Heading2"/>
      </w:pPr>
      <w:r>
        <w:t xml:space="preserve">6. Discussion: Lessons for the Moroccan Context</w:t>
      </w:r>
    </w:p>
    <w:p>
      <w:pPr>
        <w:pStyle w:val="FirstParagraph"/>
      </w:pPr>
      <w:r>
        <w:t xml:space="preserve">This case study underscores that effective management in</w:t>
      </w:r>
      <w:r>
        <w:t xml:space="preserve"> </w:t>
      </w:r>
      <w:r>
        <w:rPr>
          <w:bCs/>
          <w:b/>
        </w:rPr>
        <w:t xml:space="preserve">Morocco Casablanca</w:t>
      </w:r>
      <w:r>
        <w:t xml:space="preserve"> </w:t>
      </w:r>
      <w:r>
        <w:t xml:space="preserve">requires a hybrid approach. An</w:t>
      </w:r>
      <w:r>
        <w:t xml:space="preserve"> </w:t>
      </w:r>
      <w:r>
        <w:rPr>
          <w:bCs/>
          <w:b/>
        </w:rPr>
        <w:t xml:space="preserve">Education Administrator</w:t>
      </w:r>
      <w:r>
        <w:t xml:space="preserve"> </w:t>
      </w:r>
      <w:r>
        <w:t xml:space="preserve">cannot simply be an enforcer of state policy; they must be a community builder and an innovator. The success factors identified here—localizing teacher training, engaging non-traditional stakeholders, and leveraging public-private partnerships—are transferable to other urban centers in Morocco such as Rabat, Fes, or Tangier.</w:t>
      </w:r>
    </w:p>
    <w:p>
      <w:pPr>
        <w:pStyle w:val="BodyText"/>
      </w:pPr>
      <w:r>
        <w:t xml:space="preserve">Furthermore, the case highlights the importance of data-driven decision-making. The administrator utilized local data to identify specific pain points (e.g., high absenteeism on certain days) rather than applying blanket solutions. This precision allowed for more efficient use of scarce resources.</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Morocco Casablanca</w:t>
      </w:r>
      <w:r>
        <w:t xml:space="preserve"> </w:t>
      </w:r>
      <w:r>
        <w:t xml:space="preserve">is increasingly critical as Morocco strives to achieve Sustainable Development Goal 4 (Quality Education). The challenges are formidable, rooted in historical inequities and rapid urban change. However, this case study demonstrates that with visionary leadership, community-centric strategies, and adaptive management, significant improvements in educational outcomes are achievable.</w:t>
      </w:r>
    </w:p>
    <w:p>
      <w:pPr>
        <w:pStyle w:val="BodyText"/>
      </w:pPr>
      <w:r>
        <w:t xml:space="preserve">The administrator serves as the linchpin between national ambition and local reality. By empowering teachers, engaging communities, and prioritizing inclusivity,</w:t>
      </w:r>
      <w:r>
        <w:rPr>
          <w:bCs/>
          <w:b/>
        </w:rPr>
        <w:t xml:space="preserve">Morocco Casablanca</w:t>
      </w:r>
      <w:r>
        <w:t xml:space="preserve"> </w:t>
      </w:r>
      <w:r>
        <w:t xml:space="preserve">can serve as a model for urban education reform in the region. Future policies should focus on granting administrators greater autonomy and providing them with specialized training in change management to further accelerate progress.</w:t>
      </w:r>
    </w:p>
    <w:p>
      <w:pPr>
        <w:pStyle w:val="BodyText"/>
      </w:pPr>
      <w:r>
        <w:rPr>
          <w:iCs/>
          <w:i/>
        </w:rPr>
        <w:t xml:space="preserve">This document serves as a foundational reference for policymakers, educational theorists, and prospective administrators looking to understand the nuances of school leadership in major Moroccan metropolitan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Morocco Casablanca</dc:title>
  <dc:creator/>
  <dc:language>en</dc:language>
  <cp:keywords/>
  <dcterms:created xsi:type="dcterms:W3CDTF">2026-07-29T18:37:55Z</dcterms:created>
  <dcterms:modified xsi:type="dcterms:W3CDTF">2026-07-29T18:37:55Z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