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Leadership</w:t>
      </w:r>
      <w:r>
        <w:t xml:space="preserve"> </w:t>
      </w:r>
      <w:r>
        <w:t xml:space="preserve">in</w:t>
      </w:r>
      <w:r>
        <w:t xml:space="preserve"> </w:t>
      </w:r>
      <w:r>
        <w:t xml:space="preserve">Complexity</w:t>
      </w:r>
      <w:r>
        <w:t xml:space="preserve"> </w:t>
      </w:r>
      <w:r>
        <w:t xml:space="preserve">-</w:t>
      </w:r>
      <w:r>
        <w:t xml:space="preserve"> </w:t>
      </w:r>
      <w:r>
        <w:t xml:space="preserve">An</w:t>
      </w:r>
      <w:r>
        <w:t xml:space="preserve"> </w:t>
      </w:r>
      <w:r>
        <w:t xml:space="preserve">Education</w:t>
      </w:r>
      <w:r>
        <w:t xml:space="preserve"> </w:t>
      </w:r>
      <w:r>
        <w:t xml:space="preserve">Administrator's</w:t>
      </w:r>
      <w:r>
        <w:t xml:space="preserve"> </w:t>
      </w:r>
      <w:r>
        <w:t xml:space="preserve">Journey</w:t>
      </w:r>
      <w:r>
        <w:t xml:space="preserve"> </w:t>
      </w:r>
      <w:r>
        <w:t xml:space="preserve">in</w:t>
      </w:r>
      <w:r>
        <w:t xml:space="preserve"> </w:t>
      </w:r>
      <w:r>
        <w:t xml:space="preserve">New</w:t>
      </w:r>
      <w:r>
        <w:t xml:space="preserve"> </w:t>
      </w:r>
      <w:r>
        <w:t xml:space="preserve">Zealand</w:t>
      </w:r>
      <w:r>
        <w:t xml:space="preserve"> </w:t>
      </w:r>
      <w:r>
        <w:t xml:space="preserve">Auckland</w:t>
      </w:r>
    </w:p>
    <w:bookmarkStart w:id="33" w:name="X34241c666649a1c7dbe5e34b764ce34f67829b2"/>
    <w:p>
      <w:pPr>
        <w:pStyle w:val="Heading1"/>
      </w:pPr>
      <w:r>
        <w:t xml:space="preserve">Case Study Strategic Leadership and Community Integration for an Education Administrator in New Zealand Auckland</w:t>
      </w:r>
    </w:p>
    <w:p>
      <w:pPr>
        <w:pStyle w:val="FirstParagraph"/>
      </w:pPr>
      <w:r>
        <w:rPr>
          <w:bCs/>
          <w:b/>
        </w:rPr>
        <w:t xml:space="preserve">Date:</w:t>
      </w:r>
      <w:r>
        <w:t xml:space="preserve"> </w:t>
      </w:r>
      <w:r>
        <w:t xml:space="preserve">October 24, 2023</w:t>
      </w:r>
      <w:r>
        <w:br/>
      </w:r>
      <w:r>
        <w:rPr>
          <w:bCs/>
          <w:b/>
        </w:rPr>
        <w:t xml:space="preserve">Audience:</w:t>
      </w:r>
      <w:r>
        <w:t xml:space="preserve"> </w:t>
      </w:r>
      <w:r>
        <w:t xml:space="preserve">Educational Stakeholders, Policy Makers, Aspiring Leaders in New Zealand</w:t>
      </w:r>
      <w:r>
        <w:br/>
      </w:r>
      <w:r>
        <w:rPr>
          <w:bCs/>
          <w:b/>
        </w:rPr>
        <w:t xml:space="preserve">Jurisdiction Focus:</w:t>
      </w:r>
      <w:r>
        <w:t xml:space="preserve"> </w:t>
      </w:r>
      <w:r>
        <w:t xml:space="preserve">Auckland Region, New Zealand</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presents a comprehensive analysis of the role and challenges faced by an Education Administrator operating within the dynamic context of Auckland, New Zealand. As one of the fastest-growing metropolitan areas in Oceania, Auckland presents a unique confluence of cultural diversity, rapid urbanization, and educational demand. The central narrative explores how modern administration must transcend traditional bureaucratic management to embrace transformative leadership that honors Te Tiriti o Waitangi (The Treaty of Waitangi) while ensuring equitable outcomes for all learners.</w:t>
      </w:r>
    </w:p>
    <w:bookmarkEnd w:id="20"/>
    <w:bookmarkStart w:id="22" w:name="contextual-background"/>
    <w:p>
      <w:pPr>
        <w:pStyle w:val="Heading2"/>
      </w:pPr>
      <w:r>
        <w:t xml:space="preserve">2. Contextual Background</w:t>
      </w:r>
    </w:p>
    <w:bookmarkStart w:id="21" w:name="the-auckland-landscape"/>
    <w:p>
      <w:pPr>
        <w:pStyle w:val="Heading3"/>
      </w:pPr>
      <w:r>
        <w:t xml:space="preserve">The Auckland Landscape</w:t>
      </w:r>
    </w:p>
    <w:p>
      <w:pPr>
        <w:pStyle w:val="FirstParagraph"/>
      </w:pPr>
      <w:r>
        <w:t xml:space="preserve">Auckland is the economic engine of New Zealand and a city defined by its multicultural fabric. With over 40% of its population born overseas, the region’s schools are microcosms of global diversity. For an Education Administrator in this environment, understanding demographic shifts is not merely statistical; it is operational imperatives.</w:t>
      </w:r>
    </w:p>
    <w:p>
      <w:pPr>
        <w:pStyle w:val="BodyText"/>
      </w:pPr>
      <w:r>
        <w:rPr>
          <w:bCs/>
          <w:b/>
        </w:rPr>
        <w:t xml:space="preserve">Key Statistic:</w:t>
      </w:r>
      <w:r>
        <w:t xml:space="preserve"> </w:t>
      </w:r>
      <w:r>
        <w:t xml:space="preserve">Approximately 180 languages are spoken by students in Auckland schools, requiring sophisticated resource allocation and cultural competency strategies.</w:t>
      </w:r>
    </w:p>
    <w:p>
      <w:pPr>
        <w:pStyle w:val="BodyText"/>
      </w:pPr>
      <w:r>
        <w:t xml:space="preserve">The New Zealand education system is governed by the Ministry of Education through key legislation such as the Education Act 1989 and the National Standards framework (now evolving into a new focus on achievement outcomes). However, within Auckland’s specific locale, administrators must navigate local council regulations, regional funding disparities between affluent suburbs like Remuera and emerging communities in South Auckland.</w:t>
      </w:r>
    </w:p>
    <w:bookmarkEnd w:id="21"/>
    <w:bookmarkEnd w:id="22"/>
    <w:bookmarkStart w:id="26" w:name="the-role-of-the-education-administrator"/>
    <w:p>
      <w:pPr>
        <w:pStyle w:val="Heading2"/>
      </w:pPr>
      <w:r>
        <w:t xml:space="preserve">3. The Role of the Education Administrator</w:t>
      </w:r>
    </w:p>
    <w:p>
      <w:pPr>
        <w:pStyle w:val="FirstParagraph"/>
      </w:pPr>
      <w:r>
        <w:t xml:space="preserve">The title "Education Administrator" in this context refers to senior leadership roles such as Principals, Deputy Principals, or Executive Officers within Kura Kaupapa Māori (Māori language immersion schools), comprehensive secondary schools, and primary education clusters. Their responsibilities have shifted significantly over the last decade.</w:t>
      </w:r>
    </w:p>
    <w:bookmarkStart w:id="23" w:name="a.-strategic-governance-and-compliance"/>
    <w:p>
      <w:pPr>
        <w:pStyle w:val="Heading3"/>
      </w:pPr>
      <w:r>
        <w:t xml:space="preserve">A. Strategic Governance and Compliance</w:t>
      </w:r>
    </w:p>
    <w:p>
      <w:pPr>
        <w:pStyle w:val="FirstParagraph"/>
      </w:pPr>
      <w:r>
        <w:t xml:space="preserve">The primary duty remains ensuring compliance with national regulations. In Auckland, this involves rigorous adherence to health and safety standards in aging school facilities often found in dense urban centers. Administrators must manage board governance structures, ensuring that School Boards of Trustees represent the community effectively.</w:t>
      </w:r>
    </w:p>
    <w:bookmarkEnd w:id="23"/>
    <w:bookmarkStart w:id="24" w:name="Xa21488b81be4037f7936fa45e1ecf622a026e68"/>
    <w:p>
      <w:pPr>
        <w:pStyle w:val="Heading3"/>
      </w:pPr>
      <w:r>
        <w:t xml:space="preserve">B. Curriculum Implementation and Te Tiriti o Waitangi</w:t>
      </w:r>
    </w:p>
    <w:p>
      <w:pPr>
        <w:pStyle w:val="FirstParagraph"/>
      </w:pPr>
      <w:r>
        <w:t xml:space="preserve">A critical aspect of being an Education Administrator in New Zealand is the active implementation of Te Tiriti o Waitangi principles: Partnership, Protection, and Participation. This is not symbolic; it requires embedding Māori knowledge systems (Mātauranga Māori) into the curriculum across all subjects. The administrator must facilitate professional development for staff to ensure they are culturally responsive educators.</w:t>
      </w:r>
    </w:p>
    <w:bookmarkEnd w:id="24"/>
    <w:bookmarkStart w:id="25" w:name="X2abcc432c09e170b6780f69070873bd60e41bc1"/>
    <w:p>
      <w:pPr>
        <w:pStyle w:val="Heading3"/>
      </w:pPr>
      <w:r>
        <w:t xml:space="preserve">C. Resource Management in a Cost-of-Living Crisis</w:t>
      </w:r>
    </w:p>
    <w:p>
      <w:pPr>
        <w:pStyle w:val="FirstParagraph"/>
      </w:pPr>
      <w:r>
        <w:t xml:space="preserve">With New Zealand experiencing recent economic volatility, Auckland-based administrators face intense scrutiny regarding budget efficiency. Decisions regarding staffing ratios, infrastructure maintenance, and digital learning tools must be made with fiscal prudence while maintaining educational quality.</w:t>
      </w:r>
    </w:p>
    <w:bookmarkEnd w:id="25"/>
    <w:bookmarkEnd w:id="26"/>
    <w:bookmarkStart w:id="29" w:name="X077d9c8c5bae9003ec56e12bac31f0bac9d94da"/>
    <w:p>
      <w:pPr>
        <w:pStyle w:val="Heading2"/>
      </w:pPr>
      <w:r>
        <w:t xml:space="preserve">4. Case Scenario: Addressing Educational Disparities in South Auckland</w:t>
      </w:r>
    </w:p>
    <w:p>
      <w:pPr>
        <w:pStyle w:val="FirstParagraph"/>
      </w:pPr>
      <w:r>
        <w:t xml:space="preserve">To illustrate the complexities of this role, we examine a specific case involving a mid-sized decile 1 (lowest socioeconomic funding) primary school in South Auckland, managed by an experienced Education Administrator.</w:t>
      </w:r>
    </w:p>
    <w:bookmarkStart w:id="27" w:name="the-challenge"/>
    <w:p>
      <w:pPr>
        <w:pStyle w:val="Heading3"/>
      </w:pPr>
      <w:r>
        <w:t xml:space="preserve">The Challenge</w:t>
      </w:r>
    </w:p>
    <w:p>
      <w:pPr>
        <w:pStyle w:val="FirstParagraph"/>
      </w:pPr>
      <w:r>
        <w:t xml:space="preserve">The school faced declining NCEA (National Certificate of Educational Achievement) attainment rates among Māori and Pasifika students. Simultaneously, there was a high turnover rate among teaching staff due to burnout and community stressors linked to housing instability.</w:t>
      </w:r>
    </w:p>
    <w:bookmarkEnd w:id="27"/>
    <w:bookmarkStart w:id="28" w:name="the-administrative-intervention"/>
    <w:p>
      <w:pPr>
        <w:pStyle w:val="Heading3"/>
      </w:pPr>
      <w:r>
        <w:t xml:space="preserve">The Administrative Intervention</w:t>
      </w:r>
    </w:p>
    <w:p>
      <w:pPr>
        <w:pStyle w:val="FirstParagraph"/>
      </w:pPr>
      <w:r>
        <w:rPr>
          <w:bCs/>
          <w:b/>
        </w:rPr>
        <w:t xml:space="preserve">1. Community Whanau Engagement:</w:t>
      </w:r>
      <w:r>
        <w:br/>
      </w:r>
      <w:r>
        <w:t xml:space="preserve">The administrator initiated a shift from "parent-teacher meetings" to "Whanau Hui" (family gatherings). By inviting elders and community leaders into the school environment, the administrator rebuilt trust. This aligns with the New Zealand concept of</w:t>
      </w:r>
      <w:r>
        <w:t xml:space="preserve"> </w:t>
      </w:r>
      <w:r>
        <w:rPr>
          <w:iCs/>
          <w:i/>
        </w:rPr>
        <w:t xml:space="preserve">Whanaungatanga</w:t>
      </w:r>
      <w:r>
        <w:t xml:space="preserve"> </w:t>
      </w:r>
      <w:r>
        <w:t xml:space="preserve">(relationships).</w:t>
      </w:r>
    </w:p>
    <w:p>
      <w:pPr>
        <w:pStyle w:val="BodyText"/>
      </w:pPr>
      <w:r>
        <w:rPr>
          <w:bCs/>
          <w:b/>
        </w:rPr>
        <w:t xml:space="preserve">2. Data-Driven Intervention:</w:t>
      </w:r>
      <w:r>
        <w:br/>
      </w:r>
      <w:r>
        <w:t xml:space="preserve">Utilizing Ministry data tools, the administrator identified specific literacy gaps in Year 4 students. Resources were reallocated to hire specialized literacy coaches rather than expanding general administrative staffing.</w:t>
      </w:r>
    </w:p>
    <w:p>
      <w:pPr>
        <w:pStyle w:val="BodyText"/>
      </w:pPr>
      <w:r>
        <w:rPr>
          <w:bCs/>
          <w:b/>
        </w:rPr>
        <w:t xml:space="preserve">3. Staff Wellbeing Protocols:</w:t>
      </w:r>
      <w:r>
        <w:br/>
      </w:r>
      <w:r>
        <w:t xml:space="preserve">Recognizing the emotional toll on staff working in high-needs communities, the administrator introduced mandatory wellbeing leave and peer-support mentorship programs. This reduced turnover by 15% within two years.</w:t>
      </w:r>
    </w:p>
    <w:bookmarkEnd w:id="28"/>
    <w:bookmarkEnd w:id="29"/>
    <w:bookmarkStart w:id="30" w:name="analysis-of-outcomes"/>
    <w:p>
      <w:pPr>
        <w:pStyle w:val="Heading2"/>
      </w:pPr>
      <w:r>
        <w:t xml:space="preserve">5. Analysis of Outcomes</w:t>
      </w:r>
    </w:p>
    <w:p>
      <w:pPr>
        <w:pStyle w:val="FirstParagraph"/>
      </w:pPr>
      <w:r>
        <w:t xml:space="preserve">The strategic adjustments led to measurable improvements:</w:t>
      </w:r>
    </w:p>
    <w:p>
      <w:pPr>
        <w:numPr>
          <w:ilvl w:val="0"/>
          <w:numId w:val="1001"/>
        </w:numPr>
        <w:pStyle w:val="Compact"/>
      </w:pPr>
      <w:r>
        <w:rPr>
          <w:bCs/>
          <w:b/>
        </w:rPr>
        <w:t xml:space="preserve">Achievement Gains:</w:t>
      </w:r>
      <w:r>
        <w:t xml:space="preserve"> </w:t>
      </w:r>
      <w:r>
        <w:t xml:space="preserve">Year 9 literacy scores improved by 8% over two years.</w:t>
      </w:r>
    </w:p>
    <w:p>
      <w:pPr>
        <w:numPr>
          <w:ilvl w:val="0"/>
          <w:numId w:val="1001"/>
        </w:numPr>
        <w:pStyle w:val="Compact"/>
      </w:pPr>
      <w:r>
        <w:rPr>
          <w:bCs/>
          <w:b/>
        </w:rPr>
        <w:t xml:space="preserve">Cultural Safety:</w:t>
      </w:r>
      <w:r>
        <w:t xml:space="preserve"> </w:t>
      </w:r>
      <w:r>
        <w:t xml:space="preserve">Student surveys indicated a higher sense of belonging and cultural identity affirmation.</w:t>
      </w:r>
    </w:p>
    <w:p>
      <w:pPr>
        <w:numPr>
          <w:ilvl w:val="0"/>
          <w:numId w:val="1001"/>
        </w:numPr>
        <w:pStyle w:val="Compact"/>
      </w:pPr>
      <w:r>
        <w:t xml:space="preserve">Fiscal Responsibility:</w:t>
      </w:r>
    </w:p>
    <w:p>
      <w:pPr>
        <w:pStyle w:val="FirstParagraph"/>
      </w:pPr>
      <w:r>
        <w:t xml:space="preserve">This case demonstrates that effective administration in Auckland is not just about managing buildings and budgets; it is about managing relationships and cultural capital.</w:t>
      </w:r>
    </w:p>
    <w:bookmarkEnd w:id="30"/>
    <w:bookmarkStart w:id="31" w:name="challenges-and-future-considerations"/>
    <w:p>
      <w:pPr>
        <w:pStyle w:val="Heading2"/>
      </w:pPr>
      <w:r>
        <w:t xml:space="preserve">6. Challenges and Future Considerations</w:t>
      </w:r>
    </w:p>
    <w:p>
      <w:pPr>
        <w:pStyle w:val="FirstParagraph"/>
      </w:pPr>
      <w:r>
        <w:rPr>
          <w:bCs/>
          <w:b/>
        </w:rPr>
        <w:t xml:space="preserve">Digital Divide:</w:t>
      </w:r>
      <w:r>
        <w:br/>
      </w:r>
      <w:r>
        <w:t xml:space="preserve">As New Zealand accelerates its digital education strategy, Auckland administrators must ensure equitable access to technology. The disparity between students with high-speed home internet and those without remains a significant barrier that administrators must advocate for at regional council levels.</w:t>
      </w:r>
    </w:p>
    <w:p>
      <w:pPr>
        <w:pStyle w:val="BodyText"/>
      </w:pPr>
      <w:r>
        <w:rPr>
          <w:bCs/>
          <w:b/>
        </w:rPr>
        <w:t xml:space="preserve">Mental Health Crisis:</w:t>
      </w:r>
      <w:r>
        <w:br/>
      </w:r>
      <w:r>
        <w:t xml:space="preserve">Post-pandemic, there has been a surge in student mental health issues. Administrators are increasingly acting as gateways to health services, requiring partnerships with district health boards (Auckland District Health Board). This blurring of educational and healthcare boundaries requires new administrative skill sets.</w:t>
      </w:r>
    </w:p>
    <w:bookmarkEnd w:id="31"/>
    <w:bookmarkStart w:id="32" w:name="conclusion"/>
    <w:p>
      <w:pPr>
        <w:pStyle w:val="Heading2"/>
      </w:pPr>
      <w:r>
        <w:t xml:space="preserve">7. Conclusion</w:t>
      </w:r>
    </w:p>
    <w:p>
      <w:pPr>
        <w:pStyle w:val="FirstParagraph"/>
      </w:pPr>
      <w:r>
        <w:t xml:space="preserve">The role of an Education Administrator in New Zealand Auckland is complex, multifaceted, and deeply impactful. It requires a leader who can navigate the intersection of national policy and local community needs. Success in this role depends on the ability to balance fiscal accountability with empathetic leadership that respects the bicultural foundation of New Zealand.</w:t>
      </w:r>
    </w:p>
    <w:p>
      <w:pPr>
        <w:pStyle w:val="BodyText"/>
      </w:pPr>
      <w:r>
        <w:t xml:space="preserve">For aspiring administrators, this case study highlights that effective leadership in Auckland is synonymous with inclusive leadership. By centering Te Tiriti o Waitangi, prioritizing community engagement, and leveraging data for targeted support, Education Administrators can drive systemic change and improve life outcomes for the diverse youth of Aotearoa.</w:t>
      </w:r>
    </w:p>
    <w:p>
      <w:r>
        <w:pict>
          <v:rect style="width:0;height:1.5pt" o:hralign="center" o:hrstd="t" o:hr="t"/>
        </w:pict>
      </w:r>
    </w:p>
    <w:p>
      <w:pPr>
        <w:pStyle w:val="FirstParagraph"/>
      </w:pPr>
      <w:r>
        <w:rPr>
          <w:bCs/>
          <w:b/>
          <w:iCs/>
          <w:i/>
        </w:rPr>
        <w:t xml:space="preserve">Disclaimer:</w:t>
      </w:r>
      <w:r>
        <w:rPr>
          <w:iCs/>
          <w:i/>
        </w:rPr>
        <w:t xml:space="preserve"> </w:t>
      </w:r>
      <w:r>
        <w:rPr>
          <w:iCs/>
          <w:i/>
        </w:rPr>
        <w:t xml:space="preserve">This case study is a composite narrative based on common trends in New Zealand educational administration. Specific names and locations have been anonymized to protect privacy, though the statistical context reflects real-world data available through the New Zealand Ministry of Education.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Leadership in Complexity - An Education Administrator's Journey in New Zealand Auckland</dc:title>
  <dc:creator/>
  <dc:language>en</dc:language>
  <cp:keywords/>
  <dcterms:created xsi:type="dcterms:W3CDTF">2026-07-30T06:18:46Z</dcterms:created>
  <dcterms:modified xsi:type="dcterms:W3CDTF">2026-07-30T06:18:46Z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