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5f4c9f19d2d663573c5099e210030705e1fae44"/>
    <w:p>
      <w:pPr>
        <w:pStyle w:val="Heading1"/>
      </w:pPr>
      <w:r>
        <w:t xml:space="preserve">CASE STUDY: The Strategic Impact of an Education Administrator in New Zealand Wellington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New Zealand Wellington</w:t>
      </w:r>
      <w:r>
        <w:br/>
      </w:r>
      <w:r>
        <w:rPr>
          <w:bCs/>
          <w:b/>
        </w:rPr>
        <w:t xml:space="preserve">Focus Role:</w:t>
      </w:r>
      <w:r>
        <w:t xml:space="preserve"> </w:t>
      </w:r>
      <w:r>
        <w:t xml:space="preserve">Education Administrator</w:t>
      </w:r>
      <w:r>
        <w:br/>
      </w:r>
    </w:p>
    <w:p>
      <w:pPr>
        <w:pStyle w:val="BodyText"/>
      </w:pPr>
      <w:r>
        <w:rPr>
          <w:iCs/>
          <w:i/>
        </w:rPr>
        <w:t xml:space="preserve">This document serves as a comprehensive Case Study examining the critical role, challenges, and strategic contributions of an Education Administrator within the unique socio-economic and cultural landscape of New Zealand Wellington.</w:t>
      </w:r>
    </w:p>
    <w:bookmarkStart w:id="20" w:name="executive-summary"/>
    <w:p>
      <w:pPr>
        <w:pStyle w:val="Heading2"/>
      </w:pPr>
      <w:r>
        <w:t xml:space="preserve">1. Executive Summary</w:t>
      </w:r>
    </w:p>
    <w:p>
      <w:pPr>
        <w:pStyle w:val="FirstParagraph"/>
      </w:pPr>
      <w:r>
        <w:t xml:space="preserve">In the dynamic educational ecosystem of New Zealand Wellington, administrative leadership is not merely a support function; it is a strategic pillar that dictates institutional success. This Case Study explores the multifaceted responsibilities of an Education Administrator operating within Wellington’s diverse school environment. From navigating the complexities of Te Tiriti o Waitangi obligations to managing post-pandemic educational recovery, the Education Administrator in this region faces unique pressures and opportunities.</w:t>
      </w:r>
    </w:p>
    <w:p>
      <w:pPr>
        <w:pStyle w:val="BodyText"/>
      </w:pPr>
      <w:r>
        <w:t xml:space="preserve">The primary objective of this Case Study is to analyze how effective administration drives academic excellence, operational efficiency, and community engagement in Wellington’s schools. By dissecting specific scenarios related to resource allocation, cultural competency, and policy implementation, we can understand the profound impact of this role on student outcomes and staff well-being.</w:t>
      </w:r>
    </w:p>
    <w:bookmarkEnd w:id="20"/>
    <w:bookmarkStart w:id="21" w:name="X1c2b45180e73d42a9ce90e901a80df168cbf234"/>
    <w:p>
      <w:pPr>
        <w:pStyle w:val="Heading2"/>
      </w:pPr>
      <w:r>
        <w:t xml:space="preserve">2. Contextual Background: The Wellington Landscape</w:t>
      </w:r>
    </w:p>
    <w:p>
      <w:pPr>
        <w:pStyle w:val="FirstParagraph"/>
      </w:pPr>
      <w:r>
        <w:t xml:space="preserve">New Zealand Wellington stands as the political and cultural capital of New Zealand. Its educational sector is characterized by high diversity, with a significant population of students from Pasifika, Māori, Asian, and European backgrounds. For an Education Administrator in New Zealand Wellington, understanding this demographic mosaic is not optional; it is foundational.</w:t>
      </w:r>
    </w:p>
    <w:p>
      <w:pPr>
        <w:pStyle w:val="BodyText"/>
      </w:pPr>
      <w:r>
        <w:t xml:space="preserve">The region boasts some of the highest-performing schools in the country but also grapples with issues related to educational equity and accessibility. The Ministry of Education’s recent focus on "Wellbeing and Belonging" has shifted the administrative paradigm from purely compliance-based management to holistic student support. Consequently, an Education Administrator must now act as a bridge between government policy, school leadership, families, and the broader Wellington community.</w:t>
      </w:r>
    </w:p>
    <w:bookmarkEnd w:id="21"/>
    <w:bookmarkStart w:id="25" w:name="Xd52526d3e44f464363646e79f7be5feb8d73c72"/>
    <w:p>
      <w:pPr>
        <w:pStyle w:val="Heading2"/>
      </w:pPr>
      <w:r>
        <w:t xml:space="preserve">3. Core Responsibilities of the Education Administrator</w:t>
      </w:r>
    </w:p>
    <w:p>
      <w:pPr>
        <w:pStyle w:val="FirstParagraph"/>
      </w:pPr>
      <w:r>
        <w:t xml:space="preserve">The role of an Education Administrator in this context extends far beyond data entry or filing. It encompasses strategic planning, regulatory compliance, and stakeholder management. The following key areas define their daily operations:</w:t>
      </w:r>
    </w:p>
    <w:bookmarkStart w:id="22" w:name="Xfd57286c9ac2b7a74982bfd555e4c92700aea98"/>
    <w:p>
      <w:pPr>
        <w:pStyle w:val="Heading3"/>
      </w:pPr>
      <w:r>
        <w:t xml:space="preserve">3.1 Regulatory Compliance and Policy Implementation</w:t>
      </w:r>
    </w:p>
    <w:p>
      <w:pPr>
        <w:pStyle w:val="FirstParagraph"/>
      </w:pPr>
      <w:r>
        <w:t xml:space="preserve">New Zealand’s education system is governed by strict legislative frameworks, including the Education Act 1989 and the Code of Practice for Pastoral Care of International Students. An Education Administrator must ensure that the institution remains compliant with all statutory requirements. This involves interpreting complex policies from the Ministry and translating them into actionable internal procedures.</w:t>
      </w:r>
    </w:p>
    <w:bookmarkEnd w:id="22"/>
    <w:bookmarkStart w:id="23" w:name="X4611a83021b6ea9f7ad9f1d68db9b3900abb2ad"/>
    <w:p>
      <w:pPr>
        <w:pStyle w:val="Heading3"/>
      </w:pPr>
      <w:r>
        <w:t xml:space="preserve">3.2 Cultural Competency and Te Tiriti o Waitangi</w:t>
      </w:r>
    </w:p>
    <w:p>
      <w:pPr>
        <w:pStyle w:val="FirstParagraph"/>
      </w:pPr>
      <w:r>
        <w:t xml:space="preserve">A critical aspect of being an Education Administrator in New Zealand Wellington is upholding the principles of Te Tiriti o Waitangi (The Treaty of Waitangi). This requires administrators to actively promote bicultural practices within the school. They must ensure that Māori perspectives are integrated into curriculum delivery, governance, and school culture. This involves working closely with local iwi (tribes) and ensuring that Māori students experience educational success as Māori.</w:t>
      </w:r>
    </w:p>
    <w:bookmarkEnd w:id="23"/>
    <w:bookmarkStart w:id="24" w:name="X606b9c0c93a98465fc2213ae7521cbc8ad7bd5e"/>
    <w:p>
      <w:pPr>
        <w:pStyle w:val="Heading3"/>
      </w:pPr>
      <w:r>
        <w:t xml:space="preserve">3.3 Financial Stewardship and Resource Allocation</w:t>
      </w:r>
    </w:p>
    <w:p>
      <w:pPr>
        <w:pStyle w:val="FirstParagraph"/>
      </w:pPr>
      <w:r>
        <w:t xml:space="preserve">Educational funding in New Zealand is often complex, involving base grants, equity funding for disadvantaged students, and specific project-based funding. An Education Administrator must possess strong financial acumen to allocate these resources effectively. In Wellington, where operational costs are high due to the city’s status as a capital region, efficient budget management is essential to maintain high-quality teaching facilities and support services.</w:t>
      </w:r>
    </w:p>
    <w:bookmarkEnd w:id="24"/>
    <w:bookmarkEnd w:id="25"/>
    <w:bookmarkStart w:id="29" w:name="Xe0abf4a3b7b5d08ef8e1152840c0a731c1a6dda"/>
    <w:p>
      <w:pPr>
        <w:pStyle w:val="Heading2"/>
      </w:pPr>
      <w:r>
        <w:t xml:space="preserve">4. Case Scenario: Post-Pandemic Recovery in a Wellington Intermediate School</w:t>
      </w:r>
    </w:p>
    <w:p>
      <w:pPr>
        <w:pStyle w:val="FirstParagraph"/>
      </w:pPr>
      <w:r>
        <w:t xml:space="preserve">To illustrate the practical application of these duties, we examine a specific scenario involving an Education Administrator at an intermediate school (Years 7-8) in South Wellington. Following the pandemic disruptions, the school faced significant challenges regarding student attendance and mental health.</w:t>
      </w:r>
    </w:p>
    <w:bookmarkStart w:id="26" w:name="the-challenge"/>
    <w:p>
      <w:pPr>
        <w:pStyle w:val="Heading3"/>
      </w:pPr>
      <w:r>
        <w:t xml:space="preserve">4.1 The Challenge</w:t>
      </w:r>
    </w:p>
    <w:p>
      <w:pPr>
        <w:pStyle w:val="FirstParagraph"/>
      </w:pPr>
      <w:r>
        <w:t xml:space="preserve">The case study highlights a situation where attendance rates had dropped by 15% compared to pre-pandemic levels. Additionally, there was growing anxiety among students from low-socioeconomic backgrounds who lacked access to reliable technology for remote learning during lockdowns.</w:t>
      </w:r>
    </w:p>
    <w:bookmarkEnd w:id="26"/>
    <w:bookmarkStart w:id="27" w:name="the-administrative-response"/>
    <w:p>
      <w:pPr>
        <w:pStyle w:val="Heading3"/>
      </w:pPr>
      <w:r>
        <w:t xml:space="preserve">4.2 The Administrative Response</w:t>
      </w:r>
    </w:p>
    <w:p>
      <w:pPr>
        <w:pStyle w:val="FirstParagraph"/>
      </w:pPr>
      <w:r>
        <w:t xml:space="preserve">The Education Administrator initiated a multi-faceted response strategy:</w:t>
      </w:r>
    </w:p>
    <w:p>
      <w:pPr>
        <w:numPr>
          <w:ilvl w:val="0"/>
          <w:numId w:val="1001"/>
        </w:numPr>
        <w:pStyle w:val="Compact"/>
      </w:pPr>
      <w:r>
        <w:rPr>
          <w:bCs/>
          <w:b/>
        </w:rPr>
        <w:t xml:space="preserve">Data Analysis:</w:t>
      </w:r>
      <w:r>
        <w:t xml:space="preserve"> </w:t>
      </w:r>
      <w:r>
        <w:t xml:space="preserve">Utilizing student information systems to identify at-risk students and correlate attendance with socioeconomic data.</w:t>
      </w:r>
    </w:p>
    <w:p>
      <w:pPr>
        <w:numPr>
          <w:ilvl w:val="0"/>
          <w:numId w:val="1001"/>
        </w:numPr>
        <w:pStyle w:val="Compact"/>
      </w:pPr>
      <w:r>
        <w:rPr>
          <w:bCs/>
          <w:b/>
        </w:rPr>
        <w:t xml:space="preserve">Cross-Sector Collaboration:</w:t>
      </w:r>
      <w:r>
        <w:t xml:space="preserve"> </w:t>
      </w:r>
      <w:r>
        <w:t xml:space="preserve">Leveraging Wellington’s strong network of community organizations, the Administrator partnered with local social services to provide food security support for families, recognizing that hunger is a barrier to attendance.</w:t>
      </w:r>
    </w:p>
    <w:p>
      <w:pPr>
        <w:numPr>
          <w:ilvl w:val="0"/>
          <w:numId w:val="1001"/>
        </w:numPr>
        <w:pStyle w:val="Compact"/>
      </w:pPr>
      <w:r>
        <w:rPr>
          <w:bCs/>
          <w:b/>
        </w:rPr>
        <w:t xml:space="preserve">Pastoral Care Integration:</w:t>
      </w:r>
      <w:r>
        <w:t xml:space="preserve"> </w:t>
      </w:r>
      <w:r>
        <w:t xml:space="preserve">Working with school counselors to implement targeted wellbeing programs that addressed trauma and anxiety.</w:t>
      </w:r>
    </w:p>
    <w:p>
      <w:pPr>
        <w:numPr>
          <w:ilvl w:val="0"/>
          <w:numId w:val="1001"/>
        </w:numPr>
        <w:pStyle w:val="Compact"/>
      </w:pPr>
      <w:r>
        <w:rPr>
          <w:bCs/>
          <w:b/>
        </w:rPr>
        <w:t xml:space="preserve">Communication Strategy:</w:t>
      </w:r>
      <w:r>
        <w:t xml:space="preserve"> </w:t>
      </w:r>
      <w:r>
        <w:t xml:space="preserve">Developing culturally responsive communication channels, including WhatsApp groups for parents who preferred mobile-first interaction, ensuring all families felt connected to the school community.</w:t>
      </w:r>
    </w:p>
    <w:bookmarkEnd w:id="27"/>
    <w:bookmarkStart w:id="28" w:name="the-outcome"/>
    <w:p>
      <w:pPr>
        <w:pStyle w:val="Heading3"/>
      </w:pPr>
      <w:r>
        <w:t xml:space="preserve">4.3 The Outcome</w:t>
      </w:r>
    </w:p>
    <w:p>
      <w:pPr>
        <w:pStyle w:val="FirstParagraph"/>
      </w:pPr>
      <w:r>
        <w:t xml:space="preserve">Six months later, attendance rates had recovered to 94% of pre-pandemic levels. More importantly, teacher surveys indicated a significant improvement in staff morale and student engagement. This Case Study demonstrates that the Education Administrator is not just a manager of systems but a catalyst for community healing and academic restoration.</w:t>
      </w:r>
    </w:p>
    <w:bookmarkEnd w:id="28"/>
    <w:bookmarkEnd w:id="29"/>
    <w:bookmarkStart w:id="30" w:name="X64b4ebdbda5b8a8cc5febe9595437dd640ae023"/>
    <w:p>
      <w:pPr>
        <w:pStyle w:val="Heading2"/>
      </w:pPr>
      <w:r>
        <w:t xml:space="preserve">5. Challenges Faced by Education Administrators</w:t>
      </w:r>
    </w:p>
    <w:p>
      <w:pPr>
        <w:pStyle w:val="FirstParagraph"/>
      </w:pPr>
      <w:r>
        <w:t xml:space="preserve">The role is fraught with challenges specific to the New Zealand Wellington context:</w:t>
      </w:r>
    </w:p>
    <w:p>
      <w:pPr>
        <w:numPr>
          <w:ilvl w:val="0"/>
          <w:numId w:val="1002"/>
        </w:numPr>
        <w:pStyle w:val="Compact"/>
      </w:pPr>
      <w:r>
        <w:rPr>
          <w:bCs/>
          <w:b/>
        </w:rPr>
        <w:t xml:space="preserve">Bureaucratic Burden:</w:t>
      </w:r>
      <w:r>
        <w:t xml:space="preserve">The increasing volume of reporting requirements can detract from time spent on strategic initiatives.</w:t>
      </w:r>
    </w:p>
    <w:p>
      <w:pPr>
        <w:numPr>
          <w:ilvl w:val="0"/>
          <w:numId w:val="1002"/>
        </w:numPr>
        <w:pStyle w:val="Compact"/>
      </w:pPr>
      <w:r>
        <w:rPr>
          <w:bCs/>
          <w:b/>
        </w:rPr>
        <w:t xml:space="preserve">Talent Retention:</w:t>
      </w:r>
      <w:r>
        <w:t xml:space="preserve">Hiring qualified administrative staff in a competitive market requires innovative HR strategies.</w:t>
      </w:r>
    </w:p>
    <w:p>
      <w:pPr>
        <w:numPr>
          <w:ilvl w:val="0"/>
          <w:numId w:val="1002"/>
        </w:numPr>
        <w:pStyle w:val="Compact"/>
      </w:pPr>
      <w:r>
        <w:rPr>
          <w:u w:val="single"/>
        </w:rPr>
        <w:t xml:space="preserve">Digital Transformation:</w:t>
      </w:r>
      <w:r>
        <w:t xml:space="preserve">Keeping pace with rapidly evolving educational technology requires continuous professional development for administrative teams.</w:t>
      </w:r>
    </w:p>
    <w:bookmarkEnd w:id="30"/>
    <w:bookmarkStart w:id="31" w:name="conclusion"/>
    <w:p>
      <w:pPr>
        <w:pStyle w:val="Heading2"/>
      </w:pPr>
      <w:r>
        <w:t xml:space="preserve">6. Conclusion</w:t>
      </w:r>
    </w:p>
    <w:p>
      <w:pPr>
        <w:pStyle w:val="FirstParagraph"/>
      </w:pPr>
      <w:r>
        <w:t xml:space="preserve">In conclusion, the Education Administrator in New Zealand Wellington plays a pivotal role in shaping the future of education. They are the architects of operational stability and the guardians of cultural integrity. As this Case Study has shown, effective administration is directly linked to improved student outcomes, especially in navigating complex social and historical contexts.</w:t>
      </w:r>
    </w:p>
    <w:p>
      <w:pPr>
        <w:pStyle w:val="BodyText"/>
      </w:pPr>
      <w:r>
        <w:t xml:space="preserve">For institutions aiming to excel, investing in high-quality administrative leadership is not an expense but a strategic imperative. The Education Administrator ensures that the vision of the school is realized through efficient operations, compliant practices, and deep community connections. In the vibrant and diverse setting of Wellington, their contribution is indispensable to fostering an educational environment where every child can thrive.</w:t>
      </w:r>
    </w:p>
    <w:p>
      <w:r>
        <w:pict>
          <v:rect style="width:0;height:1.5pt" o:hralign="center" o:hrstd="t" o:hr="t"/>
        </w:pict>
      </w:r>
    </w:p>
    <w:p>
      <w:pPr>
        <w:pStyle w:val="FirstParagraph"/>
      </w:pPr>
      <w:r>
        <w:rPr>
          <w:iCs/>
          <w:i/>
        </w:rPr>
        <w:t xml:space="preserve">This Case Study is intended for educational purposes and provides a generalized overview of administrative roles in New Zealand schools. Specific duties may vary by institution size and type.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New Zealand Wellington</dc:title>
  <dc:creator/>
  <dc:language>en</dc:language>
  <cp:keywords/>
  <dcterms:created xsi:type="dcterms:W3CDTF">2026-07-30T03:56:11Z</dcterms:created>
  <dcterms:modified xsi:type="dcterms:W3CDTF">2026-07-30T03:56:11Z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