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Qatar</w:t>
      </w:r>
      <w:r>
        <w:t xml:space="preserve"> </w:t>
      </w:r>
      <w:r>
        <w:t xml:space="preserve">Doha</w:t>
      </w:r>
    </w:p>
    <w:bookmarkStart w:id="26" w:name="X90473a7e4de07f0a12f79d4566435a22c92eeec"/>
    <w:p>
      <w:pPr>
        <w:pStyle w:val="Heading1"/>
      </w:pPr>
      <w:r>
        <w:t xml:space="preserve">Navigating Transformation: A Case Study on the Education Administrator in Qatar Doha</w:t>
      </w:r>
    </w:p>
    <w:p>
      <w:pPr>
        <w:pStyle w:val="FirstParagraph"/>
      </w:pPr>
      <w:r>
        <w:rPr>
          <w:bCs/>
          <w:b/>
        </w:rPr>
        <w:t xml:space="preserve">Date:</w:t>
      </w:r>
      <w:r>
        <w:t xml:space="preserve"> </w:t>
      </w:r>
      <w:r>
        <w:t xml:space="preserve">October 2023</w:t>
      </w:r>
      <w:r>
        <w:br/>
      </w:r>
      <w:r>
        <w:t xml:space="preserve">The Evolving Role of the</w:t>
      </w:r>
      <w:r>
        <w:t xml:space="preserve"> </w:t>
      </w:r>
      <w:hyperlink w:anchor="definition">
        <w:r>
          <w:rPr>
            <w:rStyle w:val="Hyperlink"/>
          </w:rPr>
          <w:t xml:space="preserve">Education Administrator</w:t>
        </w:r>
      </w:hyperlink>
      <w:r>
        <w:t xml:space="preserve"> </w:t>
      </w:r>
      <w:r>
        <w:t xml:space="preserve">within the Educational Ecosystem of</w:t>
      </w:r>
      <w:r>
        <w:t xml:space="preserve"> </w:t>
      </w:r>
      <w:hyperlink w:anchor="location">
        <w:r>
          <w:rPr>
            <w:rStyle w:val="Hyperlink"/>
          </w:rPr>
          <w:t xml:space="preserve">Qatar Doha</w:t>
        </w:r>
      </w:hyperlink>
    </w:p>
    <w:p>
      <w:pPr>
        <w:pStyle w:val="BodyText"/>
      </w:pPr>
      <w:r>
        <w:t xml:space="preserve">1. Introduction: The Qatari Vision and Educational Leadership</w:t>
      </w:r>
    </w:p>
    <w:p>
      <w:pPr>
        <w:pStyle w:val="BodyText"/>
      </w:pPr>
      <w:r>
        <w:t xml:space="preserve">The educational landscape in Qatar is currently undergoing a paradigm shift, driven by the ambitious objectives outlined in the</w:t>
      </w:r>
      <w:r>
        <w:t xml:space="preserve"> </w:t>
      </w:r>
      <w:r>
        <w:rPr>
          <w:bCs/>
          <w:b/>
        </w:rPr>
        <w:t xml:space="preserve">National Vision 2030.</w:t>
      </w:r>
      <w:r>
        <w:t xml:space="preserve"> </w:t>
      </w:r>
      <w:r>
        <w:t xml:space="preserve">At the heart of this transformation lies a critical figure: the</w:t>
      </w:r>
      <w:r>
        <w:t xml:space="preserve"> </w:t>
      </w:r>
      <w:hyperlink w:anchor="definition">
        <w:r>
          <w:rPr>
            <w:rStyle w:val="Hyperlink"/>
          </w:rPr>
          <w:t xml:space="preserve">Education Administrator</w:t>
        </w:r>
      </w:hyperlink>
      <w:r>
        <w:t xml:space="preserve">. Unlike traditional school principals who may have focused primarily on internal operations and disciplinary matters, modern educational leadership in this region demands a multifaceted approach that blends pedagogical expertise, strategic financial management, cross-cultural communication skills, and technological innovation.</w:t>
      </w:r>
    </w:p>
    <w:p>
      <w:pPr>
        <w:pStyle w:val="BodyText"/>
      </w:pPr>
      <w:r>
        <w:t xml:space="preserve">This case study explores the complexities faced by an</w:t>
      </w:r>
      <w:r>
        <w:t xml:space="preserve"> </w:t>
      </w:r>
      <w:hyperlink w:anchor="definition">
        <w:r>
          <w:rPr>
            <w:rStyle w:val="Hyperlink"/>
          </w:rPr>
          <w:t xml:space="preserve">Education Administrator</w:t>
        </w:r>
      </w:hyperlink>
      <w:r>
        <w:t xml:space="preserve"> </w:t>
      </w:r>
      <w:r>
        <w:t xml:space="preserve">operating within the unique sociocultural and economic context of</w:t>
      </w:r>
      <w:r>
        <w:t xml:space="preserve"> </w:t>
      </w:r>
      <w:hyperlink w:anchor="location">
        <w:r>
          <w:rPr>
            <w:rStyle w:val="Hyperlink"/>
            <w:bCs/>
            <w:b/>
          </w:rPr>
          <w:t xml:space="preserve">Qatar Doha</w:t>
        </w:r>
      </w:hyperlink>
      <w:r>
        <w:t xml:space="preserve">. By examining specific challenges related to curriculum localization, teacher retention in a transient expatriate workforce, and the integration of smart technologies, we can understand how effective administration serves as the backbone of Qatar's knowledge-based economy. The city of Doha, with its rapid urbanization and international exposure presents a distinct set of opportunities and hurdles that redefine what it means to lead an educational institution today.</w:t>
      </w:r>
    </w:p>
    <w:bookmarkStart w:id="20" w:name="context"/>
    <w:p>
      <w:pPr>
        <w:pStyle w:val="Heading2"/>
      </w:pPr>
      <w:r>
        <w:t xml:space="preserve">2. Contextual Background: The Unique Environment in</w:t>
      </w:r>
      <w:r>
        <w:t xml:space="preserve"> </w:t>
      </w:r>
      <w:hyperlink w:anchor="location">
        <w:r>
          <w:rPr>
            <w:rStyle w:val="Hyperlink"/>
          </w:rPr>
          <w:t xml:space="preserve">Qatar Doha</w:t>
        </w:r>
      </w:hyperlink>
    </w:p>
    <w:p>
      <w:pPr>
        <w:pStyle w:val="FirstParagraph"/>
      </w:pPr>
      <w:r>
        <w:t xml:space="preserve">To understand the role of the</w:t>
      </w:r>
      <w:r>
        <w:t xml:space="preserve"> </w:t>
      </w:r>
      <w:hyperlink w:anchor="definition">
        <w:r>
          <w:rPr>
            <w:rStyle w:val="Hyperlink"/>
          </w:rPr>
          <w:t xml:space="preserve">Education Administrator</w:t>
        </w:r>
      </w:hyperlink>
      <w:r>
        <w:t xml:space="preserve">, one must first appreciate the environment of</w:t>
      </w:r>
      <w:r>
        <w:t xml:space="preserve"> </w:t>
      </w:r>
      <w:hyperlink w:anchor="location">
        <w:r>
          <w:rPr>
            <w:rStyle w:val="Hyperlink"/>
            <w:bCs/>
            <w:b/>
          </w:rPr>
          <w:t xml:space="preserve">Qatar Doha</w:t>
        </w:r>
      </w:hyperlink>
      <w:r>
        <w:rPr>
          <w:bCs/>
          <w:b/>
        </w:rPr>
        <w:t xml:space="preserve">.</w:t>
      </w:r>
      <w:r>
        <w:t xml:space="preserve"> </w:t>
      </w:r>
      <w:r>
        <w:t xml:space="preserve">This metropolitan hub is characterized by a high concentration of international schools, university research parks (such as Education City), and government-led initiatives aimed at reducing reliance on hydrocarbon revenues. The demographic composition is diverse, with a significant majority of the population being expatriates from various cultural backgrounds alongside a strong national community striving to preserve Qatari heritage.</w:t>
      </w:r>
    </w:p>
    <w:p>
      <w:pPr>
        <w:pStyle w:val="BodyText"/>
      </w:pPr>
      <w:r>
        <w:t xml:space="preserve">In</w:t>
      </w:r>
      <w:r>
        <w:t xml:space="preserve"> </w:t>
      </w:r>
      <w:hyperlink w:anchor="location">
        <w:r>
          <w:rPr>
            <w:rStyle w:val="Hyperlink"/>
            <w:bCs/>
            <w:b/>
          </w:rPr>
          <w:t xml:space="preserve">Qatar Doha</w:t>
        </w:r>
      </w:hyperlink>
      <w:r>
        <w:rPr>
          <w:bCs/>
          <w:b/>
        </w:rPr>
        <w:t xml:space="preserve">,</w:t>
      </w:r>
      <w:r>
        <w:t xml:space="preserve"> </w:t>
      </w:r>
      <w:r>
        <w:t xml:space="preserve">parents are highly engaged and often demand world-class facilities that rival institutions in Europe and North America. Simultaneously, there is a pressing national mandate for "Qatarization" within the public sector, which includes education. This creates a dual pressure for</w:t>
      </w:r>
      <w:r>
        <w:t xml:space="preserve"> </w:t>
      </w:r>
      <w:hyperlink w:anchor="definition">
        <w:r>
          <w:rPr>
            <w:rStyle w:val="Hyperlink"/>
          </w:rPr>
          <w:t xml:space="preserve">Education Administrator</w:t>
        </w:r>
      </w:hyperlink>
      <w:r>
        <w:t xml:space="preserve">s: they must meet international accreditation standards (such as CIS or NEASC) while ensuring that local cultural values and Arabic language requirements are deeply embedded in the school’s identity.</w:t>
      </w:r>
    </w:p>
    <w:bookmarkEnd w:id="20"/>
    <w:bookmarkStart w:id="24" w:name="challenges"/>
    <w:p>
      <w:pPr>
        <w:pStyle w:val="Heading2"/>
      </w:pPr>
      <w:r>
        <w:t xml:space="preserve">3. Key Challenges Facing the</w:t>
      </w:r>
      <w:r>
        <w:t xml:space="preserve"> </w:t>
      </w:r>
      <w:hyperlink w:anchor="definition">
        <w:r>
          <w:rPr>
            <w:rStyle w:val="Hyperlink"/>
          </w:rPr>
          <w:t xml:space="preserve">Education Administrator</w:t>
        </w:r>
      </w:hyperlink>
    </w:p>
    <w:p>
      <w:pPr>
        <w:pStyle w:val="FirstParagraph"/>
      </w:pPr>
      <w:r>
        <w:t xml:space="preserve">The role of the</w:t>
      </w:r>
      <w:r>
        <w:t xml:space="preserve"> </w:t>
      </w:r>
      <w:hyperlink w:anchor="definition">
        <w:r>
          <w:rPr>
            <w:rStyle w:val="Hyperlink"/>
          </w:rPr>
          <w:t xml:space="preserve">Education Administrator</w:t>
        </w:r>
      </w:hyperlink>
      <w:r>
        <w:t xml:space="preserve"> </w:t>
      </w:r>
      <w:r>
        <w:t xml:space="preserve">in this region is fraught with distinct challenges. These can be categorized into three primary areas:</w:t>
      </w:r>
    </w:p>
    <w:bookmarkStart w:id="21" w:name="X38402527dddaa289a87c750e6d8b36de0e8d471"/>
    <w:p>
      <w:pPr>
        <w:pStyle w:val="Heading3"/>
      </w:pPr>
      <w:r>
        <w:t xml:space="preserve">a. Workforce Management and Teacher Retention</w:t>
      </w:r>
    </w:p>
    <w:p>
      <w:pPr>
        <w:pStyle w:val="FirstParagraph"/>
      </w:pPr>
      <w:r>
        <w:t xml:space="preserve">The teaching workforce in</w:t>
      </w:r>
      <w:r>
        <w:t xml:space="preserve"> </w:t>
      </w:r>
      <w:hyperlink w:anchor="location">
        <w:r>
          <w:rPr>
            <w:rStyle w:val="Hyperlink"/>
            <w:bCs/>
            <w:b/>
          </w:rPr>
          <w:t xml:space="preserve">Qatar Doha</w:t>
        </w:r>
      </w:hyperlink>
      <w:r>
        <w:t xml:space="preserve"> </w:t>
      </w:r>
      <w:r>
        <w:t xml:space="preserve">is predominantly expatriate due to the specialized nature of certain curricula (such as IB or AP courses). This leads to a high turnover rate, which disrupts institutional memory and student learning continuity. An</w:t>
      </w:r>
      <w:r>
        <w:t xml:space="preserve"> </w:t>
      </w:r>
      <w:hyperlink w:anchor="definition">
        <w:r>
          <w:rPr>
            <w:rStyle w:val="Hyperlink"/>
          </w:rPr>
          <w:t xml:space="preserve">Education Administrator</w:t>
        </w:r>
      </w:hyperlink>
      <w:r>
        <w:t xml:space="preserve"> </w:t>
      </w:r>
      <w:r>
        <w:t xml:space="preserve">must develop robust onboarding programs, competitive compensation packages beyond base salary (including housing and education allowances), and a supportive professional development environment that encourages long-term commitment despite the transient nature of the region.</w:t>
      </w:r>
    </w:p>
    <w:bookmarkEnd w:id="21"/>
    <w:bookmarkStart w:id="22" w:name="X8713438af272dce0f2dcf859539d5cc4ccdc7da"/>
    <w:p>
      <w:pPr>
        <w:pStyle w:val="Heading3"/>
      </w:pPr>
      <w:r>
        <w:t xml:space="preserve">b. Curriculum Localization vs. Global Standards</w:t>
      </w:r>
    </w:p>
    <w:p>
      <w:pPr>
        <w:pStyle w:val="FirstParagraph"/>
      </w:pPr>
      <w:r>
        <w:t xml:space="preserve">A significant tension exists between adopting global curricula to ensure international recognition for students pursuing higher education abroad, and integrating local Qatari content to foster national identity. The</w:t>
      </w:r>
      <w:r>
        <w:t xml:space="preserve"> </w:t>
      </w:r>
      <w:hyperlink w:anchor="definition">
        <w:r>
          <w:rPr>
            <w:rStyle w:val="Hyperlink"/>
          </w:rPr>
          <w:t xml:space="preserve">Education Administrator</w:t>
        </w:r>
      </w:hyperlink>
      <w:r>
        <w:t xml:space="preserve"> </w:t>
      </w:r>
      <w:r>
        <w:t xml:space="preserve">acts as the bridge here, ensuring that while mathematics and sciences may follow global benchmarks, history, social studies, and religious studies are rigorously aligned with Ministry of Education guidelines. This requires careful resource allocation for training staff who may be unfamiliar with local cultural nuances.</w:t>
      </w:r>
    </w:p>
    <w:bookmarkEnd w:id="22"/>
    <w:bookmarkStart w:id="23" w:name="Xf00f1be41be463a1b55fccdf5e3c216fd228bb8"/>
    <w:p>
      <w:pPr>
        <w:pStyle w:val="Heading3"/>
      </w:pPr>
      <w:r>
        <w:t xml:space="preserve">c. Technological Integration in a Smart City</w:t>
      </w:r>
    </w:p>
    <w:p>
      <w:pPr>
        <w:pStyle w:val="FirstParagraph"/>
      </w:pPr>
      <w:r>
        <w:t xml:space="preserve">Doha is positioning itself as a smart city leader. Consequently, schools are expected to integrate AI, robotics, and digital literacy into their frameworks at an early age. The</w:t>
      </w:r>
      <w:r>
        <w:t xml:space="preserve"> </w:t>
      </w:r>
      <w:hyperlink w:anchor="definition">
        <w:r>
          <w:rPr>
            <w:rStyle w:val="Hyperlink"/>
          </w:rPr>
          <w:t xml:space="preserve">Education Administrator</w:t>
        </w:r>
      </w:hyperlink>
      <w:r>
        <w:t xml:space="preserve"> </w:t>
      </w:r>
      <w:r>
        <w:t xml:space="preserve">faces the financial burden of upgrading infrastructure and the logistical challenge of ensuring that teachers are digitally literate enough to utilize these tools effectively. It is not merely about buying tablets; it is about creating a pedagogical culture where technology enhances, rather than replaces, meaningful human interaction.</w:t>
      </w:r>
    </w:p>
    <w:bookmarkEnd w:id="23"/>
    <w:bookmarkEnd w:id="24"/>
    <w:bookmarkStart w:id="25" w:name="strategy"/>
    <w:p>
      <w:pPr>
        <w:pStyle w:val="Heading2"/>
      </w:pPr>
      <w:r>
        <w:t xml:space="preserve">4. Strategic Interventions and Best Practices</w:t>
      </w:r>
    </w:p>
    <w:p>
      <w:pPr>
        <w:pStyle w:val="FirstParagraph"/>
      </w:pPr>
      <w:r>
        <w:t xml:space="preserve">To address these challenges, successful</w:t>
      </w:r>
      <w:r>
        <w:t xml:space="preserve"> </w:t>
      </w:r>
      <w:hyperlink w:anchor="definition">
        <w:r>
          <w:rPr>
            <w:rStyle w:val="Hyperlink"/>
          </w:rPr>
          <w:t xml:space="preserve">Education Administrator</w:t>
        </w:r>
      </w:hyperlink>
      <w:r>
        <w:t xml:space="preserve">s in</w:t>
      </w:r>
      <w:r>
        <w:t xml:space="preserve"> </w:t>
      </w:r>
      <w:hyperlink w:anchor="location">
        <w:r>
          <w:rPr>
            <w:rStyle w:val="Hyperlink"/>
            <w:bCs/>
            <w:b/>
          </w:rPr>
          <w:t xml:space="preserve">Qatar Doha</w:t>
        </w:r>
      </w:hyperlink>
      <w:r>
        <w:t xml:space="preserve"> </w:t>
      </w:r>
      <w:r>
        <w:t xml:space="preserve">have adopted several strategic interventions:</w:t>
      </w:r>
    </w:p>
    <w:p>
      <w:pPr>
        <w:numPr>
          <w:ilvl w:val="0"/>
          <w:numId w:val="1001"/>
        </w:numPr>
        <w:pStyle w:val="Compact"/>
      </w:pPr>
      <w:r>
        <w:rPr>
          <w:bCs/>
          <w:b/>
        </w:rPr>
        <w:t xml:space="preserve">Cultural Competency Training:</w:t>
      </w:r>
      <w:r>
        <w:t xml:space="preserve"> </w:t>
      </w:r>
      <w:r>
        <w:t xml:space="preserve">Mandatory training for incoming international staff on Qatari customs, laws, and workplace etiquette. This reduces cultural friction and helps teachers build respectful relationships with local communities.</w:t>
      </w:r>
    </w:p>
    <w:p>
      <w:pPr>
        <w:numPr>
          <w:ilvl w:val="0"/>
          <w:numId w:val="1001"/>
        </w:numPr>
        <w:pStyle w:val="Compact"/>
      </w:pPr>
      <w:r>
        <w:rPr>
          <w:bCs/>
          <w:b/>
        </w:rPr>
        <w:t xml:space="preserve">Data-Driven Decision Making:</w:t>
      </w:r>
      <w:r>
        <w:t xml:space="preserve"> </w:t>
      </w:r>
      <w:r>
        <w:t xml:space="preserve">Utilizing Learning Management Systems (LMS) to track student progress in real-time. This allows administrators to identify achievement gaps early and provide targeted support, particularly for Arabic language learners or students adjusting to new educational environments.</w:t>
      </w:r>
    </w:p>
    <w:p>
      <w:pPr>
        <w:numPr>
          <w:ilvl w:val="0"/>
          <w:numId w:val="1001"/>
        </w:numPr>
        <w:pStyle w:val="Compact"/>
      </w:pPr>
      <w:r>
        <w:rPr>
          <w:bCs/>
          <w:b/>
        </w:rPr>
        <w:t xml:space="preserve">Community Engagement Programs:</w:t>
      </w:r>
      <w:r>
        <w:t xml:space="preserve"> </w:t>
      </w:r>
      <w:r>
        <w:t xml:space="preserve">Organizing events that celebrate Qatari heritage (such as National Day activities) while inviting the broader international community in</w:t>
      </w:r>
      <w:r>
        <w:t xml:space="preserve"> </w:t>
      </w:r>
      <w:hyperlink w:anchor="location">
        <w:r>
          <w:rPr>
            <w:rStyle w:val="Hyperlink"/>
          </w:rPr>
          <w:t xml:space="preserve">Qatar Doha</w:t>
        </w:r>
      </w:hyperlink>
      <w:r>
        <w:t xml:space="preserve">. This fosters a sense of belonging and positions the school as a cultural hub rather than just an academic institution.</w:t>
      </w:r>
    </w:p>
    <w:p>
      <w:pPr>
        <w:numPr>
          <w:ilvl w:val="0"/>
          <w:numId w:val="1001"/>
        </w:numPr>
        <w:pStyle w:val="Compact"/>
      </w:pPr>
      <w:r>
        <w:rPr>
          <w:bCs/>
          <w:b/>
        </w:rPr>
        <w:t xml:space="preserve">Leadership Pipeline Development:</w:t>
      </w:r>
      <w:r>
        <w:t xml:space="preserve"> </w:t>
      </w:r>
      <w:r>
        <w:t xml:space="preserve">Investing in mid-level managers to ensure succession planning. As expatriate contracts expire, having local Qatari staff prepared for leadership roles is crucial for sustainable governance.</w:t>
      </w:r>
    </w:p>
    <w:p>
      <w:pPr>
        <w:pStyle w:val="FirstParagraph"/>
      </w:pPr>
      <w:r>
        <w:t xml:space="preserve">5. Illustrative Case Scenario: Implementation of a STEAM Initiative</w:t>
      </w:r>
    </w:p>
    <w:p>
      <w:pPr>
        <w:pStyle w:val="BodyText"/>
      </w:pPr>
      <w:r>
        <w:t xml:space="preserve">Consider a mid-sized private school in</w:t>
      </w:r>
      <w:r>
        <w:t xml:space="preserve"> </w:t>
      </w:r>
      <w:hyperlink w:anchor="location">
        <w:r>
          <w:rPr>
            <w:rStyle w:val="Hyperlink"/>
            <w:bCs/>
            <w:b/>
          </w:rPr>
          <w:t xml:space="preserve">Qatar Doha</w:t>
        </w:r>
      </w:hyperlink>
      <w:r>
        <w:t xml:space="preserve">. The</w:t>
      </w:r>
      <w:r>
        <w:t xml:space="preserve"> </w:t>
      </w:r>
      <w:hyperlink w:anchor="definition">
        <w:r>
          <w:rPr>
            <w:rStyle w:val="Hyperlink"/>
          </w:rPr>
          <w:t xml:space="preserve">Education Administrator</w:t>
        </w:r>
      </w:hyperlink>
      <w:r>
        <w:t xml:space="preserve">, recognizing the government's push for STEM (Science, Technology, Engineering, Mathematics) education coupled with Arts (STEAM), initiated a comprehensive overhaul of the science curriculum.</w:t>
      </w:r>
    </w:p>
    <w:p>
      <w:pPr>
        <w:pStyle w:val="BodyText"/>
      </w:pPr>
      <w:r>
        <w:t xml:space="preserve">The administrator first conducted a needs analysis involving parents and industry partners in Doha to identify skill gaps. They then secured funding through strategic partnerships with local tech firms—a common practice in</w:t>
      </w:r>
      <w:r>
        <w:t xml:space="preserve"> </w:t>
      </w:r>
      <w:hyperlink w:anchor="location">
        <w:r>
          <w:rPr>
            <w:rStyle w:val="Hyperlink"/>
          </w:rPr>
          <w:t xml:space="preserve">Qatar Doha</w:t>
        </w:r>
      </w:hyperlink>
      <w:r>
        <w:t xml:space="preserve">'s corporate social responsibility landscape. The challenge lay in training existing staff who were accustomed to traditional lecture-based methods. Through a phased professional development approach, the administrator collaborated with university partners from Education City to provide hands-on workshops for teachers.</w:t>
      </w:r>
    </w:p>
    <w:p>
      <w:pPr>
        <w:pStyle w:val="BodyText"/>
      </w:pPr>
      <w:r>
        <w:t xml:space="preserve">The result was not just improved test scores but a heightened student engagement and participation in international robotics competitions. This case illustrates how the</w:t>
      </w:r>
      <w:r>
        <w:t xml:space="preserve"> </w:t>
      </w:r>
      <w:hyperlink w:anchor="definition">
        <w:r>
          <w:rPr>
            <w:rStyle w:val="Hyperlink"/>
          </w:rPr>
          <w:t xml:space="preserve">Education Administrator</w:t>
        </w:r>
      </w:hyperlink>
      <w:r>
        <w:t xml:space="preserve"> </w:t>
      </w:r>
      <w:r>
        <w:t xml:space="preserve">serves as an innovator, leveraging local resources in Doha to solve global educational challenges.</w:t>
      </w:r>
    </w:p>
    <w:p>
      <w:pPr>
        <w:pStyle w:val="BodyText"/>
      </w:pPr>
      <w:r>
        <w:t xml:space="preserve">6. Conclusion: The Future of Educational Leadership in Qatar</w:t>
      </w:r>
    </w:p>
    <w:p>
      <w:pPr>
        <w:pStyle w:val="BodyText"/>
      </w:pPr>
      <w:r>
        <w:t xml:space="preserve">The role of the</w:t>
      </w:r>
      <w:r>
        <w:t xml:space="preserve"> </w:t>
      </w:r>
      <w:hyperlink w:anchor="definition">
        <w:r>
          <w:rPr>
            <w:rStyle w:val="Hyperlink"/>
          </w:rPr>
          <w:t xml:space="preserve">Education Administrator</w:t>
        </w:r>
      </w:hyperlink>
      <w:r>
        <w:t xml:space="preserve"> </w:t>
      </w:r>
      <w:r>
        <w:t xml:space="preserve">in</w:t>
      </w:r>
      <w:r>
        <w:t xml:space="preserve"> </w:t>
      </w:r>
      <w:hyperlink w:anchor="location">
        <w:r>
          <w:rPr>
            <w:rStyle w:val="Hyperlink"/>
            <w:bCs/>
            <w:b/>
          </w:rPr>
          <w:t xml:space="preserve">Qatar Doha</w:t>
        </w:r>
      </w:hyperlink>
      <w:r>
        <w:t xml:space="preserve"> </w:t>
      </w:r>
      <w:r>
        <w:t xml:space="preserve">is more pivotal than ever before. They are no longer just managers of buildings and budgets but are visionaries responsible for shaping the mindset of a generation that will inherit Qatar's post-oil future. The successful administrator balances the demands of global competitiveness with local cultural fidelity.</w:t>
      </w:r>
    </w:p>
    <w:p>
      <w:pPr>
        <w:pStyle w:val="BodyText"/>
      </w:pPr>
      <w:r>
        <w:t xml:space="preserve">As</w:t>
      </w:r>
      <w:r>
        <w:t xml:space="preserve"> </w:t>
      </w:r>
      <w:hyperlink w:anchor="location">
        <w:r>
          <w:rPr>
            <w:rStyle w:val="Hyperlink"/>
            <w:bCs/>
            <w:b/>
          </w:rPr>
          <w:t xml:space="preserve">Qatar Doha</w:t>
        </w:r>
      </w:hyperlink>
      <w:r>
        <w:t xml:space="preserve"> </w:t>
      </w:r>
      <w:r>
        <w:t xml:space="preserve">continues to host major international events and expand its knowledge economy, the standards for educational leadership will only rise. Future administrators must be agile leaders, capable of navigating geopolitical shifts, technological disruptions, and evolving demographic trends. Ultimately, the quality of education in Qatar is directly correlated with the capability of its</w:t>
      </w:r>
      <w:r>
        <w:t xml:space="preserve"> </w:t>
      </w:r>
      <w:hyperlink w:anchor="definition">
        <w:r>
          <w:rPr>
            <w:rStyle w:val="Hyperlink"/>
          </w:rPr>
          <w:t xml:space="preserve">Education Administrator</w:t>
        </w:r>
      </w:hyperlink>
      <w:r>
        <w:t xml:space="preserve">s to inspire both staff and students toward a shared vision of excellence rooted in local values yet open to global perspectives.</w:t>
      </w:r>
    </w:p>
    <w:p>
      <w:pPr>
        <w:pStyle w:val="BodyText"/>
      </w:pPr>
      <w:r>
        <w:t xml:space="preserve">In summary, this case study highlights that effective administration in</w:t>
      </w:r>
      <w:r>
        <w:t xml:space="preserve"> </w:t>
      </w:r>
      <w:hyperlink w:anchor="location">
        <w:r>
          <w:rPr>
            <w:rStyle w:val="Hyperlink"/>
            <w:bCs/>
            <w:b/>
          </w:rPr>
          <w:t xml:space="preserve">Qatar Doha</w:t>
        </w:r>
      </w:hyperlink>
      <w:r>
        <w:t xml:space="preserve"> </w:t>
      </w:r>
      <w:r>
        <w:t xml:space="preserve">is a complex interplay of cultural intelligence, strategic resource management, and pedagogical innovation. It is through the dedicated efforts of these administrators that Qatar realizes its vision of a sustainable, knowledge-based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Education Administrator in Qatar Doha</dc:title>
  <dc:creator/>
  <dc:language>en</dc:language>
  <cp:keywords/>
  <dcterms:created xsi:type="dcterms:W3CDTF">2026-07-29T13:09:52Z</dcterms:created>
  <dcterms:modified xsi:type="dcterms:W3CDTF">2026-07-29T13:09:52Z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