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Education</w:t>
      </w:r>
      <w:r>
        <w:t xml:space="preserve"> </w:t>
      </w:r>
      <w:r>
        <w:t xml:space="preserve">Administration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4" w:name="Xcde95bde3a506a202b1f273f6a70baf142892f6"/>
    <w:p>
      <w:pPr>
        <w:pStyle w:val="Heading1"/>
      </w:pPr>
      <w:r>
        <w:t xml:space="preserve">Case Study: Strategic Educational Leadership and Administrative Reform in South Africa Cape Town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South Africa Cape Town</w:t>
      </w:r>
      <w:r>
        <w:br/>
      </w:r>
      <w:r>
        <w:rPr>
          <w:bCs/>
          <w:b/>
        </w:rPr>
        <w:t xml:space="preserve">Focus Role:</w:t>
      </w:r>
      <w:r>
        <w:t xml:space="preserve"> </w:t>
      </w:r>
      <w:r>
        <w:t xml:space="preserve">Education Administrator</w:t>
      </w:r>
    </w:p>
    <w:p>
      <w:pPr>
        <w:pStyle w:val="BodyText"/>
      </w:pPr>
      <w:r>
        <w:rPr>
          <w:bCs/>
          <w:b/>
          <w:iCs/>
          <w:i/>
        </w:rPr>
        <w:t xml:space="preserve">Acknowledgement of Traditional Custodians:</w:t>
      </w:r>
      <w:r>
        <w:rPr>
          <w:iCs/>
          <w:i/>
        </w:rPr>
        <w:t xml:space="preserve"> </w:t>
      </w:r>
      <w:r>
        <w:rPr>
          <w:iCs/>
          <w:i/>
        </w:rPr>
        <w:t xml:space="preserve">This case study acknowledges the indigenous peoples of the land on which this educational research and administrative analysis takes place, paying respects to their ancestors and elders.</w:t>
      </w:r>
    </w:p>
    <w:bookmarkStart w:id="20" w:name="executive-summary"/>
    <w:p>
      <w:pPr>
        <w:pStyle w:val="Heading2"/>
      </w:pPr>
      <w:r>
        <w:t xml:space="preserve">1. Executive Summary</w:t>
      </w:r>
    </w:p>
    <w:p>
      <w:pPr>
        <w:pStyle w:val="FirstParagraph"/>
      </w:pPr>
      <w:r>
        <w:t xml:space="preserve">The landscape of education in South Africa is characterized by a stark dichotomy between historically advantaged institutions and under-resourced township schools. This Case Study examines the critical role of an Education Administrator operating within the complex socio-economic fabric of South Africa Cape Town. The primary objective is to analyze how administrative leadership serves as the backbone for pedagogical success, policy implementation, and community engagement in a region defined by both immense potential and historical inequality.</w:t>
      </w:r>
    </w:p>
    <w:p>
      <w:pPr>
        <w:pStyle w:val="BodyText"/>
      </w:pPr>
      <w:r>
        <w:t xml:space="preserve">The administrator discussed herein operates within a quintile 4 school system (middle-to-high poverty spectrum), navigating the unique challenges of urban education delivery. This document outlines the specific administrative strategies employed to bridge resource gaps, enhance teacher retention, and foster a culture of accountability in South Africa Cape Town.</w:t>
      </w:r>
    </w:p>
    <w:bookmarkEnd w:id="20"/>
    <w:bookmarkStart w:id="23" w:name="Xaa95828a7790a78a28a6d0bbd56f2c6bcbf249a"/>
    <w:p>
      <w:pPr>
        <w:pStyle w:val="Heading2"/>
      </w:pPr>
      <w:r>
        <w:t xml:space="preserve">2. Contextual Background: The South Africa Cape Town Landscape</w:t>
      </w:r>
    </w:p>
    <w:p>
      <w:pPr>
        <w:pStyle w:val="FirstParagraph"/>
      </w:pPr>
      <w:r>
        <w:t xml:space="preserve">To understand the necessity of specialized Education Administrator roles, one must first contextualize the environment of South Africa Cape Town. Unlike other global metropolises, this city presents a unique juxtaposition of world-class infrastructure and profound developmental challenges.</w:t>
      </w:r>
    </w:p>
    <w:bookmarkStart w:id="21" w:name="socio-economic-disparities"/>
    <w:p>
      <w:pPr>
        <w:pStyle w:val="Heading3"/>
      </w:pPr>
      <w:r>
        <w:t xml:space="preserve">2.1 Socio-Economic Disparities</w:t>
      </w:r>
    </w:p>
    <w:p>
      <w:pPr>
        <w:pStyle w:val="FirstParagraph"/>
      </w:pPr>
      <w:r>
        <w:t xml:space="preserve">In many parts of South Africa Cape Town, the legacy of apartheid spatial planning persists. Students often travel long distances from the Western Cape’s periphery to access educational facilities. The Education Administrator must therefore manage logistics that go beyond standard curriculum delivery, including transport coordination, safety protocols for vulnerable learners, and nutritional support systems.</w:t>
      </w:r>
    </w:p>
    <w:bookmarkEnd w:id="21"/>
    <w:bookmarkStart w:id="22" w:name="linguistic-and-cultural-diversity"/>
    <w:p>
      <w:pPr>
        <w:pStyle w:val="Heading3"/>
      </w:pPr>
      <w:r>
        <w:t xml:space="preserve">2.2 Linguistic and Cultural Diversity</w:t>
      </w:r>
    </w:p>
    <w:p>
      <w:pPr>
        <w:pStyle w:val="FirstParagraph"/>
      </w:pPr>
      <w:r>
        <w:t xml:space="preserve">The population of South Africa Cape Town is incredibly diverse, encompassing speakers of isiXhosa, Afrikaans, English, and various other indigenous languages. An effective Education Administrator must implement policies that are inclusive and culturally responsive. This involves ensuring that administrative communication reaches parents effectively across language barriers and fostering an environment where cultural identity is respected within the school ethos.</w:t>
      </w:r>
    </w:p>
    <w:bookmarkEnd w:id="22"/>
    <w:bookmarkEnd w:id="23"/>
    <w:bookmarkStart w:id="24" w:name="X24438f24f2e7ea2373c7a6b84b2ed4d6b7c4a79"/>
    <w:p>
      <w:pPr>
        <w:pStyle w:val="Heading2"/>
      </w:pPr>
      <w:r>
        <w:t xml:space="preserve">3. Role Profile: The Modern Education Administrator</w:t>
      </w:r>
    </w:p>
    <w:p>
      <w:pPr>
        <w:pStyle w:val="FirstParagraph"/>
      </w:pPr>
      <w:r>
        <w:t xml:space="preserve">In this Case Study, the term "Education Administrator" extends beyond traditional clerical duties. In the South Africa Cape Town context, these professionals are strategic partners to School Governing Bodies (SGBs), principals, and district officials. Their role encompasses four critical pillars:</w:t>
      </w:r>
    </w:p>
    <w:p>
      <w:pPr>
        <w:numPr>
          <w:ilvl w:val="0"/>
          <w:numId w:val="1001"/>
        </w:numPr>
        <w:pStyle w:val="Compact"/>
      </w:pPr>
      <w:r>
        <w:rPr>
          <w:bCs/>
          <w:b/>
        </w:rPr>
        <w:t xml:space="preserve">Fiscal Management and Compliance:</w:t>
      </w:r>
      <w:r>
        <w:t xml:space="preserve"> </w:t>
      </w:r>
      <w:r>
        <w:t xml:space="preserve">Navigating the Department of Education’s funding models while ensuring transparent use of resources.</w:t>
      </w:r>
    </w:p>
    <w:p>
      <w:pPr>
        <w:numPr>
          <w:ilvl w:val="0"/>
          <w:numId w:val="1001"/>
        </w:numPr>
        <w:pStyle w:val="Compact"/>
      </w:pPr>
      <w:r>
        <w:rPr>
          <w:bCs/>
          <w:b/>
        </w:rPr>
        <w:t xml:space="preserve">Human Resource Coordination:</w:t>
      </w:r>
      <w:r>
        <w:t xml:space="preserve"> </w:t>
      </w:r>
      <w:r>
        <w:t xml:space="preserve">Managing teacher aide recruitment, administrative staff training, and conflict resolution.</w:t>
      </w:r>
    </w:p>
    <w:p>
      <w:pPr>
        <w:numPr>
          <w:ilvl w:val="0"/>
          <w:numId w:val="1001"/>
        </w:numPr>
        <w:pStyle w:val="Compact"/>
      </w:pPr>
      <w:r>
        <w:rPr>
          <w:bCs/>
          <w:b/>
        </w:rPr>
        <w:t xml:space="preserve">Tech Integration Leadership:</w:t>
      </w:r>
      <w:r>
        <w:t xml:space="preserve"> </w:t>
      </w:r>
      <w:r>
        <w:t xml:space="preserve">Overseeing the implementation of digital learning tools in areas with intermittent connectivity.</w:t>
      </w:r>
    </w:p>
    <w:p>
      <w:pPr>
        <w:numPr>
          <w:ilvl w:val="0"/>
          <w:numId w:val="1001"/>
        </w:numPr>
        <w:pStyle w:val="Compact"/>
      </w:pPr>
      <w:r>
        <w:rPr>
          <w:bCs/>
          <w:b/>
        </w:rPr>
        <w:t xml:space="preserve">Stakeholder Engagement:</w:t>
      </w:r>
      <w:r>
        <w:t xml:space="preserve"> </w:t>
      </w:r>
      <w:r>
        <w:t xml:space="preserve">Acting as a liaison between the school community, local businesses, and government entities.</w:t>
      </w:r>
    </w:p>
    <w:bookmarkEnd w:id="24"/>
    <w:bookmarkStart w:id="25" w:name="X5b71f18deea37179b704d30c307996ae29bb0e1"/>
    <w:p>
      <w:pPr>
        <w:pStyle w:val="Heading2"/>
      </w:pPr>
      <w:r>
        <w:t xml:space="preserve">4. Problem Statement: Administrative Bottlenecks</w:t>
      </w:r>
    </w:p>
    <w:p>
      <w:pPr>
        <w:pStyle w:val="FirstParagraph"/>
      </w:pPr>
      <w:r>
        <w:t xml:space="preserve">The primary challenge identified in this Case Study is the fragmentation of administrative support in high-needs schools within South Africa Cape Town. Common issues include:</w:t>
      </w:r>
    </w:p>
    <w:p>
      <w:pPr>
        <w:numPr>
          <w:ilvl w:val="0"/>
          <w:numId w:val="1002"/>
        </w:numPr>
        <w:pStyle w:val="Compact"/>
      </w:pPr>
      <w:r>
        <w:rPr>
          <w:bCs/>
          <w:b/>
        </w:rPr>
        <w:t xml:space="preserve">Bureaucratic Delay:</w:t>
      </w:r>
      <w:r>
        <w:t xml:space="preserve"> </w:t>
      </w:r>
      <w:r>
        <w:t xml:space="preserve">Slow processing of learner documentation affects access to provincial assessments.</w:t>
      </w:r>
    </w:p>
    <w:p>
      <w:pPr>
        <w:numPr>
          <w:ilvl w:val="0"/>
          <w:numId w:val="1002"/>
        </w:numPr>
        <w:pStyle w:val="Compact"/>
      </w:pPr>
      <w:r>
        <w:rPr>
          <w:bCs/>
          <w:b/>
        </w:rPr>
        <w:t xml:space="preserve">Data Silos:</w:t>
      </w:r>
      <w:r>
        <w:t xml:space="preserve"> </w:t>
      </w:r>
      <w:r>
        <w:t xml:space="preserve">Lack of integrated systems between attendance tracking and academic performance monitoring.</w:t>
      </w:r>
    </w:p>
    <w:p>
      <w:pPr>
        <w:numPr>
          <w:ilvl w:val="0"/>
          <w:numId w:val="1002"/>
        </w:numPr>
        <w:pStyle w:val="Compact"/>
      </w:pPr>
      <w:r>
        <w:rPr>
          <w:bCs/>
          <w:b/>
        </w:rPr>
        <w:t xml:space="preserve">Crisis Management Gaps:</w:t>
      </w:r>
    </w:p>
    <w:bookmarkEnd w:id="25"/>
    <w:bookmarkStart w:id="29" w:name="intervention-strategy"/>
    <w:p>
      <w:pPr>
        <w:pStyle w:val="Heading2"/>
      </w:pPr>
      <w:r>
        <w:t xml:space="preserve">5. Intervention Strategy</w:t>
      </w:r>
    </w:p>
    <w:p>
      <w:pPr>
        <w:pStyle w:val="FirstParagraph"/>
      </w:pPr>
      <w:r>
        <w:t xml:space="preserve">The Education Administrator implemented a three-phase reform strategy designed specifically for the local context of South Africa Cape Town.</w:t>
      </w:r>
    </w:p>
    <w:bookmarkStart w:id="26" w:name="Xa6d1436b1a391a3e68b1abf57260ea515f56cbe"/>
    <w:p>
      <w:pPr>
        <w:pStyle w:val="Heading3"/>
      </w:pPr>
      <w:r>
        <w:t xml:space="preserve">Phase 1: Digital Transformation of Administrative Workflows</w:t>
      </w:r>
    </w:p>
    <w:p>
      <w:pPr>
        <w:pStyle w:val="FirstParagraph"/>
      </w:pPr>
      <w:r>
        <w:t xml:space="preserve">The administrator introduced a cloud-based School Management System (SMS) tailored for low-bandwidth environments. This system streamlined admission processes and parental communication. By digitizing records, the administration reduced paperwork by 40%, allowing staff to focus more on learner support rather than data entry.</w:t>
      </w:r>
    </w:p>
    <w:bookmarkEnd w:id="26"/>
    <w:bookmarkStart w:id="27" w:name="Xf62a14b8d1468a3b20f1b3b846cd8c367234f88"/>
    <w:p>
      <w:pPr>
        <w:pStyle w:val="Heading3"/>
      </w:pPr>
      <w:r>
        <w:t xml:space="preserve">Phase 2: Community-Centric Administrative Policies</w:t>
      </w:r>
    </w:p>
    <w:p>
      <w:pPr>
        <w:pStyle w:val="FirstParagraph"/>
      </w:pPr>
      <w:r>
        <w:t xml:space="preserve">A "Parent Liaison Officer" position was created under the administrative umbrella. This role ensured that administrative meetings were held at accessible times and locations, often in community centers within South Africa Cape Town townships. The administrator also introduced multilingual newsletters to ensure that non-English speaking parents remained informed about school policies and learner progress.</w:t>
      </w:r>
    </w:p>
    <w:bookmarkEnd w:id="27"/>
    <w:bookmarkStart w:id="28" w:name="X8001e344dcb6c93690ce9aa5b871e08f0e69854"/>
    <w:p>
      <w:pPr>
        <w:pStyle w:val="Heading3"/>
      </w:pPr>
      <w:r>
        <w:t xml:space="preserve">Phase 3: Resource Optimization through Partnerships</w:t>
      </w:r>
    </w:p>
    <w:p>
      <w:pPr>
        <w:pStyle w:val="FirstParagraph"/>
      </w:pPr>
      <w:r>
        <w:t xml:space="preserve">Leveraging the geographic proximity of corporate hubs in the Cape Town City Bowl, the Education Administrator established partnerships with local tech firms. These partnerships provided hardware donations and IT support. The administrator negotiated these agreements, ensuring that resources were directed specifically toward improving classroom infrastructure and teacher training.</w:t>
      </w:r>
    </w:p>
    <w:bookmarkEnd w:id="28"/>
    <w:bookmarkEnd w:id="29"/>
    <w:bookmarkStart w:id="30" w:name="outcomes-and-impact-analysis"/>
    <w:p>
      <w:pPr>
        <w:pStyle w:val="Heading2"/>
      </w:pPr>
      <w:r>
        <w:t xml:space="preserve">6. Outcomes and Impact Analysis</w:t>
      </w:r>
    </w:p>
    <w:p>
      <w:pPr>
        <w:pStyle w:val="FirstParagraph"/>
      </w:pPr>
      <w:r>
        <w:t xml:space="preserve">The implementation of these strategies resulted in measurable improvements over a two-year period:</w:t>
      </w:r>
    </w:p>
    <w:p>
      <w:pPr>
        <w:numPr>
          <w:ilvl w:val="0"/>
          <w:numId w:val="1003"/>
        </w:numPr>
        <w:pStyle w:val="Compact"/>
      </w:pPr>
      <w:r>
        <w:rPr>
          <w:bCs/>
          <w:b/>
        </w:rPr>
        <w:t xml:space="preserve">Institutional Efficiency:</w:t>
      </w:r>
      <w:r>
        <w:t xml:space="preserve"> </w:t>
      </w:r>
      <w:r>
        <w:t xml:space="preserve">Learner enrollment processing time decreased from 14 days to 3 days due to streamlined administrative protocols.</w:t>
      </w:r>
    </w:p>
    <w:p>
      <w:pPr>
        <w:numPr>
          <w:ilvl w:val="0"/>
          <w:numId w:val="1003"/>
        </w:numPr>
        <w:pStyle w:val="Compact"/>
      </w:pPr>
      <w:r>
        <w:rPr>
          <w:bCs/>
          <w:b/>
        </w:rPr>
        <w:t xml:space="preserve">Fiscal Transparency:</w:t>
      </w:r>
      <w:r>
        <w:t xml:space="preserve"> </w:t>
      </w:r>
      <w:r>
        <w:t xml:space="preserve">The introduction of open-book financial reporting increased trust among the SGB and parent body, leading to a 25% increase in voluntary community fundraising.</w:t>
      </w:r>
    </w:p>
    <w:p>
      <w:pPr>
        <w:numPr>
          <w:ilvl w:val="0"/>
          <w:numId w:val="1003"/>
        </w:numPr>
        <w:pStyle w:val="Compact"/>
      </w:pPr>
      <w:r>
        <w:rPr>
          <w:bCs/>
          <w:b/>
        </w:rPr>
        <w:t xml:space="preserve">Learner Retention:</w:t>
      </w:r>
      <w:r>
        <w:t xml:space="preserve"> </w:t>
      </w:r>
      <w:r>
        <w:t xml:space="preserve">By addressing administrative barriers to attendance (such as lost ID documents), absenteeism dropped by 15%, directly correlating with improved matriculation pass rates.</w:t>
      </w:r>
    </w:p>
    <w:p>
      <w:pPr>
        <w:numPr>
          <w:ilvl w:val="0"/>
          <w:numId w:val="1003"/>
        </w:numPr>
        <w:pStyle w:val="Compact"/>
      </w:pPr>
      <w:r>
        <w:rPr>
          <w:bCs/>
          <w:b/>
        </w:rPr>
        <w:t xml:space="preserve">Staff Morale:</w:t>
      </w:r>
      <w:r>
        <w:t xml:space="preserve"> </w:t>
      </w:r>
      <w:r>
        <w:t xml:space="preserve">Teachers reported higher job satisfaction due to the removal of non-teaching administrative burdens, which were effectively managed by the new support structure.</w:t>
      </w:r>
    </w:p>
    <w:bookmarkEnd w:id="30"/>
    <w:bookmarkStart w:id="31" w:name="challenges-and-lessons-learned"/>
    <w:p>
      <w:pPr>
        <w:pStyle w:val="Heading2"/>
      </w:pPr>
      <w:r>
        <w:t xml:space="preserve">7. Challenges and Lessons Learned</w:t>
      </w:r>
    </w:p>
    <w:p>
      <w:pPr>
        <w:pStyle w:val="FirstParagraph"/>
      </w:pPr>
      <w:r>
        <w:t xml:space="preserve">The Case Study highlights that even with robust strategies, challenges remain. Cybersecurity threats are an increasing concern for Education Administrators in South Africa Cape Town as digital adoption grows. Furthermore, political interference in School Governing Bodies can occasionally undermine administrative autonomy.</w:t>
      </w:r>
    </w:p>
    <w:p>
      <w:pPr>
        <w:pStyle w:val="BodyText"/>
      </w:pPr>
      <w:r>
        <w:rPr>
          <w:bCs/>
          <w:b/>
        </w:rPr>
        <w:t xml:space="preserve">Key Lesson:</w:t>
      </w:r>
      <w:r>
        <w:t xml:space="preserve"> </w:t>
      </w:r>
      <w:r>
        <w:t xml:space="preserve">Administrative success is not solely about efficiency; it is about equity. The administrator must constantly evaluate whether processes favor the privileged or support the marginalized. In South Africa Cape Town, administrative empathy—understanding the lived experiences of learners facing poverty—is just as critical as administrative precision.</w:t>
      </w:r>
    </w:p>
    <w:bookmarkEnd w:id="31"/>
    <w:bookmarkStart w:id="32" w:name="conclusion"/>
    <w:p>
      <w:pPr>
        <w:pStyle w:val="Heading2"/>
      </w:pPr>
      <w:r>
        <w:t xml:space="preserve">8. Conclusion</w:t>
      </w:r>
    </w:p>
    <w:p>
      <w:pPr>
        <w:pStyle w:val="FirstParagraph"/>
      </w:pPr>
      <w:r>
        <w:t xml:space="preserve">This Case Study demonstrates that the role of an Education Administrator in South Africa Cape Town is pivotal to systemic transformation. It is no longer sufficient to view administration merely as a support function; it must be recognized as a strategic driver of educational equity.</w:t>
      </w:r>
    </w:p>
    <w:p>
      <w:pPr>
        <w:pStyle w:val="BodyText"/>
      </w:pPr>
      <w:r>
        <w:t xml:space="preserve">The experiences outlined here provide a blueprint for other regions facing similar post-colonial educational challenges. By empowering Education Administrators with the tools, training, and authority to modernize operations while remaining deeply rooted in community needs, South Africa Cape Town can continue to lead the nation in effective school leadership. The synergy between strategic administration and pedagogical excellence remains the most viable path toward achieving quality education for all learners.</w:t>
      </w:r>
    </w:p>
    <w:bookmarkEnd w:id="32"/>
    <w:bookmarkStart w:id="33" w:name="recommendations-for-future-practice"/>
    <w:p>
      <w:pPr>
        <w:pStyle w:val="Heading2"/>
      </w:pPr>
      <w:r>
        <w:t xml:space="preserve">9. Recommendations for Future Practice</w:t>
      </w:r>
    </w:p>
    <w:p>
      <w:pPr>
        <w:numPr>
          <w:ilvl w:val="0"/>
          <w:numId w:val="1004"/>
        </w:numPr>
        <w:pStyle w:val="Compact"/>
      </w:pPr>
      <w:r>
        <w:rPr>
          <w:bCs/>
          <w:b/>
        </w:rPr>
        <w:t xml:space="preserve">Policymakers:</w:t>
      </w:r>
      <w:r>
        <w:t xml:space="preserve"> </w:t>
      </w:r>
      <w:r>
        <w:t xml:space="preserve">Invest in continuous professional development for Education Administrators, focusing on data literacy and conflict resolution.</w:t>
      </w:r>
    </w:p>
    <w:p>
      <w:pPr>
        <w:numPr>
          <w:ilvl w:val="0"/>
          <w:numId w:val="1004"/>
        </w:numPr>
        <w:pStyle w:val="Compact"/>
      </w:pPr>
      <w:r>
        <w:rPr>
          <w:bCs/>
          <w:b/>
        </w:rPr>
        <w:t xml:space="preserve">School Governing Bodies:</w:t>
      </w:r>
    </w:p>
    <w:p>
      <w:pPr>
        <w:numPr>
          <w:ilvl w:val="0"/>
          <w:numId w:val="1004"/>
        </w:numPr>
        <w:pStyle w:val="Compact"/>
      </w:pPr>
      <w:r>
        <w:rPr>
          <w:bCs/>
          <w:b/>
        </w:rPr>
        <w:t xml:space="preserve">Tertiary Institutions:</w:t>
      </w:r>
      <w:r>
        <w:t xml:space="preserve">: Revise teacher training curricula to include modules on educational administration, ensuring future principals have a strong foundation in management principles.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Education Administration in South Africa Cape Town</dc:title>
  <dc:creator/>
  <dc:language>en</dc:language>
  <cp:keywords/>
  <dcterms:created xsi:type="dcterms:W3CDTF">2026-07-29T12:25:00Z</dcterms:created>
  <dcterms:modified xsi:type="dcterms:W3CDTF">2026-07-29T12:25:00Z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