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p>
    <w:bookmarkStart w:id="32" w:name="Xf4842c4edee6f9b5874e5e2eda84dd400ad0d4b"/>
    <w:p>
      <w:pPr>
        <w:pStyle w:val="Heading1"/>
      </w:pPr>
      <w:r>
        <w:t xml:space="preserve">Case Study: Strategic Leadership and Institutional Transformation by an Education Administrator in Turkey Istanbul</w:t>
      </w:r>
    </w:p>
    <w:p>
      <w:pPr>
        <w:pStyle w:val="FirstParagraph"/>
      </w:pPr>
      <w:r>
        <w:t xml:space="preserve">Date:</w:t>
      </w:r>
      <w:r>
        <w:t xml:space="preserve"> </w:t>
      </w:r>
      <w:r>
        <w:t xml:space="preserve">October 2023</w:t>
      </w:r>
      <w:r>
        <w:br/>
      </w:r>
      <w:r>
        <w:t xml:space="preserve">Location:</w:t>
      </w:r>
      <w:r>
        <w:t xml:space="preserve">Turkey, Istanbul</w:t>
      </w:r>
    </w:p>
    <w:bookmarkStart w:id="20" w:name="executive-summary"/>
    <w:p>
      <w:pPr>
        <w:pStyle w:val="Heading2"/>
      </w:pPr>
      <w:r>
        <w:t xml:space="preserve">1. Executive Summary</w:t>
      </w:r>
    </w:p>
    <w:p>
      <w:pPr>
        <w:pStyle w:val="FirstParagraph"/>
      </w:pPr>
      <w:r>
        <w:t xml:space="preserve">This Case Study examines the operational and pedagogical challenges faced by a prominent international school located in the heart of Turkey, Istanbul. The primary focus is on the role of a senior Education Administrator who was tasked with modernizing curriculum delivery, enhancing digital infrastructure, and fostering cross-cultural inclusivity within a diverse student body. The study highlights how effective administrative leadership can bridge cultural divides and improve educational outcomes in one of Europe’s most dynamic metropolitan centers.</w:t>
      </w:r>
    </w:p>
    <w:bookmarkEnd w:id="20"/>
    <w:bookmarkStart w:id="21" w:name="X7018e5e3df22faf536801677d4bda0349337ef9"/>
    <w:p>
      <w:pPr>
        <w:pStyle w:val="Heading2"/>
      </w:pPr>
      <w:r>
        <w:t xml:space="preserve">2. Background: Contextualizing Education in Turkey Istanbul</w:t>
      </w:r>
    </w:p>
    <w:p>
      <w:pPr>
        <w:pStyle w:val="FirstParagraph"/>
      </w:pPr>
      <w:r>
        <w:t xml:space="preserve">Istanbul, the only major city spanning two continents, serves as a unique microcosm for global education dynamics. In recent years, Turkey has seen a significant surge in demand for international-standard schooling among expatriates, local families seeking competitive university placements abroad (particularly in the US and UK), and refugees integrating into society. The educational landscape in Istanbul is highly competitive, with numerous private institutions vying for high-caliber students.</w:t>
      </w:r>
    </w:p>
    <w:p>
      <w:pPr>
        <w:pStyle w:val="BodyText"/>
      </w:pPr>
      <w:r>
        <w:t xml:space="preserve">The institution under review, hereinafter referred to as "Istanbul Global Academy" (IGA), is a K-12 school located in the European sector of Turkey Istanbul. Established fifteen years ago, IGA initially served a niche expatriate community. However, demographic shifts in Turkey Istanbul over the last decade have necessitated a pivot toward serving a broader demographic, including Turkish nationals and third-country nationals. This shift placed immense pressure on existing administrative structures.</w:t>
      </w:r>
    </w:p>
    <w:bookmarkEnd w:id="21"/>
    <w:bookmarkStart w:id="22" w:name="the-challenge"/>
    <w:p>
      <w:pPr>
        <w:pStyle w:val="Heading2"/>
      </w:pPr>
      <w:r>
        <w:t xml:space="preserve">3. The Challenge</w:t>
      </w:r>
    </w:p>
    <w:p>
      <w:pPr>
        <w:pStyle w:val="FirstParagraph"/>
      </w:pPr>
      <w:r>
        <w:t xml:space="preserve">Upon appointment, the Education Administrator faced three critical challenges:</w:t>
      </w:r>
    </w:p>
    <w:p>
      <w:pPr>
        <w:numPr>
          <w:ilvl w:val="0"/>
          <w:numId w:val="1001"/>
        </w:numPr>
        <w:pStyle w:val="Compact"/>
      </w:pPr>
      <w:r>
        <w:rPr>
          <w:bCs/>
          <w:b/>
        </w:rPr>
        <w:t xml:space="preserve">Cultural and Linguistic Integration:</w:t>
      </w:r>
      <w:r>
        <w:t xml:space="preserve"> </w:t>
      </w:r>
      <w:r>
        <w:t xml:space="preserve">There was a stark divide between native Turkish-speaking students and those from non-Turkish speaking backgrounds. This segregation affected social cohesion and collaborative learning opportunities.</w:t>
      </w:r>
    </w:p>
    <w:p>
      <w:pPr>
        <w:numPr>
          <w:ilvl w:val="0"/>
          <w:numId w:val="1001"/>
        </w:numPr>
        <w:pStyle w:val="Compact"/>
      </w:pPr>
      <w:r>
        <w:rPr>
          <w:bCs/>
          <w:b/>
        </w:rPr>
        <w:t xml:space="preserve">Digital Transformation Lag:</w:t>
      </w:r>
      <w:r>
        <w:t xml:space="preserve"> </w:t>
      </w:r>
      <w:r>
        <w:t xml:space="preserve">While the administration had invested heavily in hardware, the pedagogical integration of technology remained superficial. Teachers were using tablets but not leveraging data analytics for personalized learning.</w:t>
      </w:r>
    </w:p>
    <w:p>
      <w:pPr>
        <w:numPr>
          <w:ilvl w:val="0"/>
          <w:numId w:val="1001"/>
        </w:numPr>
        <w:pStyle w:val="Compact"/>
      </w:pPr>
      <w:r>
        <w:rPr>
          <w:bCs/>
          <w:b/>
        </w:rPr>
        <w:t xml:space="preserve">Bureaucratic Compliance vs. Innovation:</w:t>
      </w:r>
      <w:r>
        <w:t xml:space="preserve"> </w:t>
      </w:r>
      <w:r>
        <w:t xml:space="preserve">Navigating the regulatory framework of the Turkish Ministry of National Education (MEB) while maintaining international accreditation standards (such as CIS or IB) created administrative bottlenecks.</w:t>
      </w:r>
    </w:p>
    <w:bookmarkEnd w:id="22"/>
    <w:bookmarkStart w:id="26" w:name="Xbd62e25c30bc19efa15b0b4e87aafcd141a6335"/>
    <w:p>
      <w:pPr>
        <w:pStyle w:val="Heading2"/>
      </w:pPr>
      <w:r>
        <w:t xml:space="preserve">4. Strategic Interventions by the Education Administrator</w:t>
      </w:r>
    </w:p>
    <w:p>
      <w:pPr>
        <w:pStyle w:val="FirstParagraph"/>
      </w:pPr>
      <w:r>
        <w:t xml:space="preserve">The Education Administrator implemented a multi-phased strategy designed to address these specific pain points while respecting the local context of Turkey Istanbul.</w:t>
      </w:r>
    </w:p>
    <w:bookmarkStart w:id="23" w:name="X3d6406b4f5efeb49b77c0b238b4e9a2c865c859"/>
    <w:p>
      <w:pPr>
        <w:pStyle w:val="Heading3"/>
      </w:pPr>
      <w:r>
        <w:t xml:space="preserve">4.1. Curriculum Harmonization and Bilingualism</w:t>
      </w:r>
    </w:p>
    <w:p>
      <w:pPr>
        <w:pStyle w:val="FirstParagraph"/>
      </w:pPr>
      <w:r>
        <w:t xml:space="preserve">Rather than viewing the dual-language requirement as a burden, the administrator restructured it as a core strength. They introduced an "Integrated Linguistic Model" where core subjects like Science and Mathematics were taught in English, while Turkish Language and Literature were enhanced with rigorous global literature comparisons. This approach ensured that students graduating from schools in Turkey Istanbul remained compliant with national requirements while possessing superior English proficiency for international universities.</w:t>
      </w:r>
    </w:p>
    <w:bookmarkEnd w:id="23"/>
    <w:bookmarkStart w:id="24" w:name="Xeec26c75943fbfeacf0beb06b510b8899e84508"/>
    <w:p>
      <w:pPr>
        <w:pStyle w:val="Heading3"/>
      </w:pPr>
      <w:r>
        <w:t xml:space="preserve">4.2. Data-Driven Administrative Decision Making</w:t>
      </w:r>
    </w:p>
    <w:p>
      <w:pPr>
        <w:pStyle w:val="FirstParagraph"/>
      </w:pPr>
      <w:r>
        <w:t xml:space="preserve">The administrator established a central data hub to track student progress across both curricular frameworks. By utilizing learning management systems (LMS), they identified that certain demographic groups were falling behind in STEM subjects due to language barriers rather than cognitive gaps. In response, they allocated resources to hire specialized interventionists trained in sheltered instruction techniques, specifically tailored for the multilingual environment of Istanbul.</w:t>
      </w:r>
    </w:p>
    <w:bookmarkEnd w:id="24"/>
    <w:bookmarkStart w:id="25" w:name="X8cb694a241dc0be8b2263de9958c285e7c0b76a"/>
    <w:p>
      <w:pPr>
        <w:pStyle w:val="Heading3"/>
      </w:pPr>
      <w:r>
        <w:t xml:space="preserve">4.3. Stakeholder Engagement and Community Building</w:t>
      </w:r>
    </w:p>
    <w:p>
      <w:pPr>
        <w:pStyle w:val="FirstParagraph"/>
      </w:pPr>
      <w:r>
        <w:t xml:space="preserve">In a city as culturally rich as Turkey Istanbul, community trust is paramount. The administrator launched "Istanbul Bridges," a monthly forum involving parents, teachers, and local municipal education officials from the Istanbul Metropolitan Municipality. This initiative facilitated transparent communication regarding curriculum changes and helped align school policies with broader civic goals of social integration.</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friction. Resistance from senior faculty members who were accustomed to traditional lecture-based methods posed a significant hurdle. To mitigate this, the Education Administrator instituted a mentorship program pairing tech-savvy younger teachers with experienced veterans, fostering peer-to-peer learning rather than top-down mandates.</w:t>
      </w:r>
    </w:p>
    <w:p>
      <w:pPr>
        <w:pStyle w:val="BodyText"/>
      </w:pPr>
      <w:r>
        <w:t xml:space="preserve">Additionally, economic volatility in Turkey presented budgetary constraints. The administrator had to renegotiate vendor contracts and seek alternative funding streams through alumni networks in Europe and North America to sustain technology upgrades without raising tuition fees drastically for local families.</w:t>
      </w:r>
    </w:p>
    <w:bookmarkEnd w:id="27"/>
    <w:bookmarkStart w:id="28" w:name="outcomes-and-impact"/>
    <w:p>
      <w:pPr>
        <w:pStyle w:val="Heading2"/>
      </w:pPr>
      <w:r>
        <w:t xml:space="preserve">6. Outcomes and Impact</w:t>
      </w:r>
    </w:p>
    <w:p>
      <w:pPr>
        <w:pStyle w:val="FirstParagraph"/>
      </w:pPr>
      <w:r>
        <w:t xml:space="preserve">After two years of implementation, the results were statistically significant:</w:t>
      </w:r>
    </w:p>
    <w:p>
      <w:pPr>
        <w:numPr>
          <w:ilvl w:val="0"/>
          <w:numId w:val="1002"/>
        </w:numPr>
        <w:pStyle w:val="Compact"/>
      </w:pPr>
      <w:r>
        <w:rPr>
          <w:bCs/>
          <w:b/>
        </w:rPr>
        <w:t xml:space="preserve">Social Cohesion:</w:t>
      </w:r>
      <w:r>
        <w:t xml:space="preserve"> </w:t>
      </w:r>
      <w:r>
        <w:t xml:space="preserve">Reports of cross-cultural segregation decreased by 60%, with mixed-group project teams becoming the norm.</w:t>
      </w:r>
    </w:p>
    <w:p>
      <w:pPr>
        <w:numPr>
          <w:ilvl w:val="0"/>
          <w:numId w:val="1002"/>
        </w:numPr>
        <w:pStyle w:val="Compact"/>
      </w:pPr>
      <w:r>
        <w:rPr>
          <w:bCs/>
          <w:b/>
        </w:rPr>
        <w:t xml:space="preserve">Academic Performance:</w:t>
      </w:r>
      <w:r>
        <w:t xml:space="preserve"> </w:t>
      </w:r>
      <w:r>
        <w:t xml:space="preserve">Pass rates in international standardized tests (such as IGCSEs and AP exams) increased by 15%. Furthermore, university acceptance rates to top-tier institutions in Turkey Istanbul and abroad rose significantly.</w:t>
      </w:r>
    </w:p>
    <w:p>
      <w:pPr>
        <w:numPr>
          <w:ilvl w:val="0"/>
          <w:numId w:val="1002"/>
        </w:numPr>
        <w:pStyle w:val="Compact"/>
      </w:pPr>
      <w:r>
        <w:rPr>
          <w:bCs/>
          <w:b/>
        </w:rPr>
        <w:t xml:space="preserve">Efficiency:</w:t>
      </w:r>
      <w:r>
        <w:t xml:space="preserve"> </w:t>
      </w:r>
      <w:r>
        <w:t xml:space="preserve">Administrative processing time for enrollment and compliance reporting was reduced by 40% due to the new digital infrastructure.</w:t>
      </w:r>
    </w:p>
    <w:p>
      <w:pPr>
        <w:pStyle w:val="FirstParagraph"/>
      </w:pPr>
      <w:r>
        <w:rPr>
          <w:bCs/>
          <w:b/>
        </w:rPr>
        <w:t xml:space="preserve">Note on Local Context:</w:t>
      </w:r>
      <w:r>
        <w:t xml:space="preserve"> </w:t>
      </w:r>
      <w:r>
        <w:t xml:space="preserve">The success of this case study is heavily dependent on the administrator's ability to navigate the specific socio-political and educational regulations of Turkey Istanbul. A generic international strategy would have failed without adapting to local labor laws, religious holidays, and curriculum mandates.</w:t>
      </w:r>
    </w:p>
    <w:bookmarkEnd w:id="28"/>
    <w:bookmarkStart w:id="29" w:name="X0ee0b135625724b1e39b8ce43463ceffd718aeb"/>
    <w:p>
      <w:pPr>
        <w:pStyle w:val="Heading2"/>
      </w:pPr>
      <w:r>
        <w:t xml:space="preserve">7. Analysis: The Role of the Education Administrator</w:t>
      </w:r>
    </w:p>
    <w:p>
      <w:pPr>
        <w:pStyle w:val="FirstParagraph"/>
      </w:pPr>
      <w:r>
        <w:t xml:space="preserve">The primary success factor was the administrator’s role as a cultural broker. In Turkey Istanbul, education is not merely an academic endeavor but a social contract between the family, the state, and global aspirations. The administrator demonstrated that effective leadership requires:</w:t>
      </w:r>
    </w:p>
    <w:p>
      <w:pPr>
        <w:numPr>
          <w:ilvl w:val="0"/>
          <w:numId w:val="1003"/>
        </w:numPr>
        <w:pStyle w:val="Compact"/>
      </w:pPr>
      <w:r>
        <w:rPr>
          <w:bCs/>
          <w:b/>
        </w:rPr>
        <w:t xml:space="preserve">Cultural Intelligence (CQ):</w:t>
      </w:r>
      <w:r>
        <w:t xml:space="preserve"> </w:t>
      </w:r>
      <w:r>
        <w:t xml:space="preserve">Understanding local nuances in communication and hierarchy.</w:t>
      </w:r>
    </w:p>
    <w:p>
      <w:pPr>
        <w:numPr>
          <w:ilvl w:val="0"/>
          <w:numId w:val="1003"/>
        </w:numPr>
        <w:pStyle w:val="Compact"/>
      </w:pPr>
      <w:r>
        <w:rPr>
          <w:bCs/>
          <w:b/>
        </w:rPr>
        <w:t xml:space="preserve">Agile Leadership:</w:t>
      </w:r>
      <w:r>
        <w:t xml:space="preserve"> </w:t>
      </w:r>
      <w:r>
        <w:t xml:space="preserve">The ability to pivot strategies in response to economic and regulatory shifts common in emerging markets.</w:t>
      </w:r>
    </w:p>
    <w:p>
      <w:pPr>
        <w:numPr>
          <w:ilvl w:val="0"/>
          <w:numId w:val="1003"/>
        </w:numPr>
        <w:pStyle w:val="Compact"/>
      </w:pPr>
      <w:r>
        <w:rPr>
          <w:bCs/>
          <w:b/>
        </w:rPr>
        <w:t xml:space="preserve">Visionary Adaptation:</w:t>
      </w:r>
      <w:r>
        <w:t xml:space="preserve">Merging global best practices with local relevance to create a unique value proposition for the school.</w:t>
      </w:r>
    </w:p>
    <w:bookmarkEnd w:id="29"/>
    <w:bookmarkStart w:id="30" w:name="lessons-learned"/>
    <w:p>
      <w:pPr>
        <w:pStyle w:val="Heading2"/>
      </w:pPr>
      <w:r>
        <w:t xml:space="preserve">8. Lessons Learned</w:t>
      </w:r>
    </w:p>
    <w:p>
      <w:pPr>
        <w:pStyle w:val="FirstParagraph"/>
      </w:pPr>
      <w:r>
        <w:t xml:space="preserve">This Case Study of an Education Administrator in Turkey Istanbul offers several lessons for other educational leaders operating in multicultural urban centers:</w:t>
      </w:r>
    </w:p>
    <w:p>
      <w:pPr>
        <w:numPr>
          <w:ilvl w:val="0"/>
          <w:numId w:val="1004"/>
        </w:numPr>
        <w:pStyle w:val="Compact"/>
      </w:pPr>
      <w:r>
        <w:rPr>
          <w:bCs/>
          <w:b/>
        </w:rPr>
        <w:t xml:space="preserve">Inclusivity as a Metric:</w:t>
      </w:r>
      <w:r>
        <w:t xml:space="preserve"> </w:t>
      </w:r>
      <w:r>
        <w:t xml:space="preserve">Diversity should be measured not just by enrollment numbers but by actual classroom integration.</w:t>
      </w:r>
    </w:p>
    <w:p>
      <w:pPr>
        <w:numPr>
          <w:ilvl w:val="0"/>
          <w:numId w:val="1004"/>
        </w:numPr>
        <w:pStyle w:val="Compact"/>
      </w:pPr>
      <w:r>
        <w:rPr>
          <w:bCs/>
          <w:b/>
        </w:rPr>
        <w:t xml:space="preserve">Digital Infrastructure is Pedagogical:</w:t>
      </w:r>
      <w:r>
        <w:t xml:space="preserve"> </w:t>
      </w:r>
      <w:r>
        <w:t xml:space="preserve">Technology investments must be paired with teacher training to yield academic results.</w:t>
      </w:r>
    </w:p>
    <w:p>
      <w:pPr>
        <w:numPr>
          <w:ilvl w:val="0"/>
          <w:numId w:val="1004"/>
        </w:numPr>
        <w:pStyle w:val="Compact"/>
      </w:pPr>
      <w:r>
        <w:rPr>
          <w:bCs/>
          <w:b/>
        </w:rPr>
        <w:t xml:space="preserve">Navigate Regulatory Complexity Proactively:</w:t>
      </w:r>
      <w:r>
        <w:t xml:space="preserve"> </w:t>
      </w:r>
      <w:r>
        <w:t xml:space="preserve">In Turkey, maintaining compliance with both international standards and MEB requirements requires a dedicated legal and administrative liaison within the leadership team.</w:t>
      </w:r>
    </w:p>
    <w:bookmarkEnd w:id="30"/>
    <w:bookmarkStart w:id="31" w:name="conclusion"/>
    <w:p>
      <w:pPr>
        <w:pStyle w:val="Heading2"/>
      </w:pPr>
      <w:r>
        <w:t xml:space="preserve">9. Conclusion</w:t>
      </w:r>
    </w:p>
    <w:p>
      <w:pPr>
        <w:pStyle w:val="FirstParagraph"/>
      </w:pPr>
      <w:r>
        <w:t xml:space="preserve">The transformation of Istanbul Global Academy underscores the critical importance of adaptive leadership in education. For an Education Administrator operating in Turkey Istanbul, success is defined by the ability to harmonize global academic standards with local cultural realities. The strategies employed—ranging from bilingual curriculum design to data-driven interventions—provide a replicable model for schools facing similar demographic and technological transitions in other rapidly developing regions. Ultimately, the administrator’s role extends beyond management; it involves being a catalyst for social cohesion and academic excellence in a complex, vibrant metropolis.</w:t>
      </w:r>
    </w:p>
    <w:p>
      <w:pPr>
        <w:pStyle w:val="BodyText"/>
      </w:pPr>
      <w:r>
        <w:rPr>
          <w:iCs/>
          <w:i/>
        </w:rPr>
        <w:t xml:space="preserve">This document serves as an analytical review of administrative practices within the educational sector of Turkey Istanbul. All names and specific institutional details have been anonymized to protect privacy, though the contextual dynamics reflect real-world scenarios prevalent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Turkey Istanbul</dc:title>
  <dc:creator/>
  <dc:language>en</dc:language>
  <cp:keywords/>
  <dcterms:created xsi:type="dcterms:W3CDTF">2026-07-29T09:28:04Z</dcterms:created>
  <dcterms:modified xsi:type="dcterms:W3CDTF">2026-07-29T09:28:04Z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