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p>
    <w:bookmarkStart w:id="29" w:name="X735b3fc5e7b32b507f83f113c4161f3cc6305e6"/>
    <w:p>
      <w:pPr>
        <w:pStyle w:val="Heading1"/>
      </w:pPr>
      <w:r>
        <w:t xml:space="preserve">Educational Transformation in a Megacity A Case Study of an Education Administrator in United States Los Angeles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Crisis Management and Equity Implementation</w:t>
      </w:r>
      <w:r>
        <w:br/>
      </w:r>
      <w:r>
        <w:rPr>
          <w:bCs/>
          <w:b/>
        </w:rPr>
        <w:t xml:space="preserve">Locus:</w:t>
      </w:r>
      <w:r>
        <w:t xml:space="preserve"> </w:t>
      </w:r>
      <w:r>
        <w:t xml:space="preserve">United States Los Angeles</w:t>
      </w:r>
      <w:r>
        <w:br/>
      </w:r>
    </w:p>
    <w:p>
      <w:pPr>
        <w:pStyle w:val="BodyText"/>
      </w:pPr>
      <w:r>
        <w:t xml:space="preserve">Rolerepresentation:**</w:t>
      </w:r>
      <w:r>
        <w:t xml:space="preserve"> </w:t>
      </w:r>
      <w:r>
        <w:t xml:space="preserve">Education Administrator</w:t>
      </w:r>
    </w:p>
    <w:p>
      <w:pPr>
        <w:pStyle w:val="BodyText"/>
      </w:pPr>
      <w:r>
        <w:t xml:space="preserve">1. Executive Summary</w:t>
      </w:r>
    </w:p>
    <w:p>
      <w:pPr>
        <w:pStyle w:val="BodyText"/>
      </w:pPr>
      <w:r>
        <w:t xml:space="preserve">This Case Study explores the complex operational landscape faced by a senior</w:t>
      </w:r>
      <w:r>
        <w:t xml:space="preserve"> </w:t>
      </w:r>
      <w:r>
        <w:t xml:space="preserve">Education Administrator within the Los Angeles Unified School District (LAUSD), one of the largest and most diverse educational systems in the United States. The document details how an Education Administrator navigates systemic challenges, including post-pandemic learning recovery, resource allocation disparities, and community engagement in a high-stakes urban environment. By analyzing specific interventions implemented by this administrator, this case study highlights the critical role of leadership in driving equity and academic excellence within</w:t>
      </w:r>
      <w:r>
        <w:t xml:space="preserve"> </w:t>
      </w:r>
      <w:r>
        <w:t xml:space="preserve">United States Los Angeles.</w:t>
      </w:r>
    </w:p>
    <w:bookmarkStart w:id="20" w:name="organizational-context"/>
    <w:p>
      <w:pPr>
        <w:pStyle w:val="Heading2"/>
      </w:pPr>
      <w:r>
        <w:t xml:space="preserve">2. Organizational Context</w:t>
      </w:r>
    </w:p>
    <w:p>
      <w:pPr>
        <w:pStyle w:val="FirstParagraph"/>
      </w:pPr>
      <w:r>
        <w:t xml:space="preserve">The Los Angeles Unified School District serves over 400,000 students across 915 schools. Operating within the vibrant yet challenging socio-economic context of</w:t>
      </w:r>
      <w:r>
        <w:t xml:space="preserve"> </w:t>
      </w:r>
      <w:r>
        <w:t xml:space="preserve">United States Los Angeles presents unique hurdles. The district is characterized by extreme diversity in language, culture, and economic status. For an Education Administrator, the scope of responsibility extends beyond traditional academic oversight to include crisis management, facility maintenance coordination with city infrastructure projects, and navigating complex state mandates from the California Department of Education.</w:t>
      </w:r>
    </w:p>
    <w:p>
      <w:pPr>
        <w:pStyle w:val="BodyText"/>
      </w:pPr>
      <w:r>
        <w:t xml:space="preserve">In recent years LAUSD has faced significant scrutiny regarding budget deficits and student achievement gaps. The position of</w:t>
      </w:r>
      <w:r>
        <w:t xml:space="preserve"> </w:t>
      </w:r>
      <w:r>
        <w:t xml:space="preserve">Education Administrator at a mid-sized high school in South Los Angeles became pivotal during a period where the district declared a fiscal emergency, requiring immediate and innovative solutions to maintain educational quality while reducing operational costs.</w:t>
      </w:r>
    </w:p>
    <w:bookmarkEnd w:id="20"/>
    <w:bookmarkStart w:id="24" w:name="problem-statement"/>
    <w:p>
      <w:pPr>
        <w:pStyle w:val="Heading2"/>
      </w:pPr>
      <w:r>
        <w:t xml:space="preserve">3. Problem Statement</w:t>
      </w:r>
    </w:p>
    <w:p>
      <w:pPr>
        <w:pStyle w:val="FirstParagraph"/>
      </w:pPr>
      <w:r>
        <w:t xml:space="preserve">The central challenge identified for this Case Study was the widening opportunity gap among student demographics in South Los Angeles. Despite various federal initiatives, students from low-income households were consistently underperforming in standardized mathematics and science assessments compared to their suburban counterparts within</w:t>
      </w:r>
      <w:r>
        <w:t xml:space="preserve"> </w:t>
      </w:r>
      <w:r>
        <w:t xml:space="preserve">United States Los Angeles.</w:t>
      </w:r>
    </w:p>
    <w:p>
      <w:pPr>
        <w:pStyle w:val="BodyText"/>
      </w:pPr>
      <w:r>
        <w:t xml:space="preserve">Furthermore, teacher retention rates had dropped to historic lows due to burnout and competitive salaries offered by private institutions or neighboring districts. The Education Administrator identified three core problems:</w:t>
      </w:r>
    </w:p>
    <w:p>
      <w:pPr>
        <w:numPr>
          <w:ilvl w:val="0"/>
          <w:numId w:val="1001"/>
        </w:numPr>
        <w:pStyle w:val="Compact"/>
      </w:pPr>
      <w:r>
        <w:rPr>
          <w:bCs/>
          <w:b/>
        </w:rPr>
        <w:t xml:space="preserve">Pedagogical Disconnect:</w:t>
      </w:r>
      <w:r>
        <w:t xml:space="preserve"> </w:t>
      </w:r>
      <w:r>
        <w:t xml:space="preserve">Curriculum materials were not culturally responsive, leading to disengagement.</w:t>
      </w:r>
    </w:p>
    <w:p>
      <w:pPr>
        <w:numPr>
          <w:ilvl w:val="0"/>
          <w:numId w:val="1001"/>
        </w:numPr>
        <w:pStyle w:val="Compact"/>
      </w:pPr>
      <w:r>
        <w:rPr>
          <w:bCs/>
          <w:b/>
        </w:rPr>
        <w:t xml:space="preserve">Fiscal Inefficiency:</w:t>
      </w:r>
      <w:r>
        <w:t xml:space="preserve"> </w:t>
      </w:r>
      <w:r>
        <w:t xml:space="preserve">Fragmented spending on external intervention programs yielded low returns.</w:t>
      </w:r>
    </w:p>
    <w:p>
      <w:pPr>
        <w:numPr>
          <w:ilvl w:val="0"/>
          <w:numId w:val="1001"/>
        </w:numPr>
        <w:pStyle w:val="Compact"/>
      </w:pPr>
      <w:r>
        <w:t xml:space="preserve">Social-Emotional Deficits:</w:t>
      </w:r>
    </w:p>
    <w:p>
      <w:pPr>
        <w:pStyle w:val="FirstParagraph"/>
      </w:pPr>
      <w:r>
        <w:t xml:space="preserve">4. The Administrator’s Strategic Response</w:t>
      </w:r>
    </w:p>
    <w:p>
      <w:pPr>
        <w:pStyle w:val="BodyText"/>
      </w:pPr>
      <w:r>
        <w:t xml:space="preserve">The Education Administrator adopted a data-driven, holistic approach to address these issues. Recognizing that traditional top-down mandates often fail in the complex ecosystem of</w:t>
      </w:r>
      <w:r>
        <w:t xml:space="preserve"> </w:t>
      </w:r>
      <w:r>
        <w:t xml:space="preserve">United States Los Angeles, the administrator prioritized collaborative governance.</w:t>
      </w:r>
    </w:p>
    <w:bookmarkStart w:id="21" w:name="implementation-of-equity-based-budgeting"/>
    <w:p>
      <w:pPr>
        <w:pStyle w:val="Heading3"/>
      </w:pPr>
      <w:r>
        <w:t xml:space="preserve">4.1 Implementation of Equity-Based Budgeting</w:t>
      </w:r>
    </w:p>
    <w:p>
      <w:pPr>
        <w:pStyle w:val="FirstParagraph"/>
      </w:pPr>
      <w:r>
        <w:t xml:space="preserve">Rather than distributing funds evenly across all departments, the Education Administrator implemented an equity-based budgeting model. This involved analyzing historical data to identify schools and departments with the highest needs for intervention. By redirecting resources toward high-impact programs such as small-group tutoring and mental health counseling, the administrator ensured that limited fiscal resources were utilized where they could generate the most significant academic improvement.</w:t>
      </w:r>
    </w:p>
    <w:bookmarkEnd w:id="21"/>
    <w:bookmarkStart w:id="22" w:name="Xf9a2caefb5da740cf8fbccb6edf09cd075ea013"/>
    <w:p>
      <w:pPr>
        <w:pStyle w:val="Heading3"/>
      </w:pPr>
      <w:r>
        <w:t xml:space="preserve">4.2 Community-Centric Professional Development</w:t>
      </w:r>
    </w:p>
    <w:p>
      <w:pPr>
        <w:pStyle w:val="FirstParagraph"/>
      </w:pPr>
      <w:r>
        <w:t xml:space="preserve">To address teacher retention and pedagogical disconnects, the Education Administrator launched a "Cultural Competency and Trauma-Informed Teaching" initiative. Unlike standard one-day workshops, this was a sustained professional development program co-facilitated by local community leaders from</w:t>
      </w:r>
      <w:r>
        <w:t xml:space="preserve"> </w:t>
      </w:r>
      <w:r>
        <w:t xml:space="preserve">United States Los Angeles. Teachers were trained to recognize signs of trauma and adapt their instructional methods to reflect the lived experiences of their students. This approach not only improved teacher efficacy but also strengthened trust between the school and the surrounding neighborhood.</w:t>
      </w:r>
    </w:p>
    <w:bookmarkEnd w:id="22"/>
    <w:bookmarkStart w:id="23" w:name="leveraging-public-private-partnerships"/>
    <w:p>
      <w:pPr>
        <w:pStyle w:val="Heading3"/>
      </w:pPr>
      <w:r>
        <w:t xml:space="preserve">4.3 Leveraging Public-Private Partnerships</w:t>
      </w:r>
    </w:p>
    <w:p>
      <w:pPr>
        <w:pStyle w:val="FirstParagraph"/>
      </w:pPr>
      <w:r>
        <w:t xml:space="preserve">Innovative resource acquisition was another pillar of the strategy. The Education Administrator forged partnerships with local technology hubs in Silicon Beach and cultural institutions across</w:t>
      </w:r>
      <w:r>
        <w:t xml:space="preserve"> </w:t>
      </w:r>
      <w:r>
        <w:t xml:space="preserve">United States Los Angeles. These partnerships provided students with access to mentorship programs, internships, and real-world STEM experiences that the district’s budget could not independently support.</w:t>
      </w:r>
    </w:p>
    <w:bookmarkEnd w:id="23"/>
    <w:bookmarkEnd w:id="24"/>
    <w:bookmarkStart w:id="25" w:name="outcomes-and-metrics-of-success"/>
    <w:p>
      <w:pPr>
        <w:pStyle w:val="Heading2"/>
      </w:pPr>
      <w:r>
        <w:t xml:space="preserve">5. Outcomes and Metrics of Success</w:t>
      </w:r>
    </w:p>
    <w:p>
      <w:pPr>
        <w:pStyle w:val="FirstParagraph"/>
      </w:pPr>
      <w:r>
        <w:t xml:space="preserve">After eighteen months of implementing these strategies, the Education Administrator reported measurable improvements across key performance indicators:</w:t>
      </w:r>
    </w:p>
    <w:p>
      <w:pPr>
        <w:numPr>
          <w:ilvl w:val="0"/>
          <w:numId w:val="1002"/>
        </w:numPr>
        <w:pStyle w:val="Compact"/>
      </w:pPr>
      <w:r>
        <w:rPr>
          <w:bCs/>
          <w:b/>
        </w:rPr>
        <w:t xml:space="preserve">Academic Growth:</w:t>
      </w:r>
      <w:r>
        <w:t xml:space="preserve"> Standardized test scores in mathematics increased by 12% among historically marginalized student groups, narrowing the achievement gap.</w:t>
      </w:r>
    </w:p>
    <w:p>
      <w:pPr>
        <w:numPr>
          <w:ilvl w:val="0"/>
          <w:numId w:val="1002"/>
        </w:numPr>
        <w:pStyle w:val="Compact"/>
      </w:pPr>
      <w:r>
        <w:rPr>
          <w:bCs/>
          <w:b/>
        </w:rPr>
        <w:t xml:space="preserve">Teacher Retention:</w:t>
      </w:r>
      <w:r>
        <w:t xml:space="preserve"> Staff turnover decreased by 15%, attributed largely to improved workplace culture and targeted support systems.</w:t>
      </w:r>
    </w:p>
    <w:p>
      <w:pPr>
        <w:pStyle w:val="FirstParagraph"/>
      </w:pPr>
      <w:r>
        <w:t xml:space="preserve">The success of this</w:t>
      </w:r>
      <w:r>
        <w:t xml:space="preserve"> </w:t>
      </w:r>
      <w:r>
        <w:t xml:space="preserve">Education Administrator’s tenure serves as a model for other districts within</w:t>
      </w:r>
      <w:r>
        <w:t xml:space="preserve"> </w:t>
      </w:r>
      <w:r>
        <w:t xml:space="preserve">United States Los Angeles facing similar structural challenges. The data indicates that when administrative leadership prioritizes equity and community integration, academic outcomes improve significantly even in resource-constrained environments.</w:t>
      </w:r>
    </w:p>
    <w:bookmarkEnd w:id="25"/>
    <w:bookmarkStart w:id="26" w:name="challenges-and-limitations"/>
    <w:p>
      <w:pPr>
        <w:pStyle w:val="Heading2"/>
      </w:pPr>
      <w:r>
        <w:t xml:space="preserve">6. Challenges and Limitations</w:t>
      </w:r>
    </w:p>
    <w:p>
      <w:pPr>
        <w:pStyle w:val="FirstParagraph"/>
      </w:pPr>
      <w:r>
        <w:t xml:space="preserve">Despite the successes, the Case Study acknowledges ongoing hurdles. Bureaucratic inertia within larger district offices sometimes slowed down the implementation of localized innovations. Additionally, while community engagement improved, sustaining long-term parental involvement required continuous effort and resources.</w:t>
      </w:r>
    </w:p>
    <w:p>
      <w:pPr>
        <w:pStyle w:val="BodyText"/>
      </w:pPr>
      <w:r>
        <w:t xml:space="preserve">The volatile economic landscape of</w:t>
      </w:r>
      <w:r>
        <w:t xml:space="preserve"> </w:t>
      </w:r>
      <w:r>
        <w:t xml:space="preserve">United States Los Angeles also posed external risks. Inflationary pressures affected procurement costs for educational materials, requiring the Education Administrator to constantly adapt financial plans. Furthermore, political shifts at the state level occasionally altered funding streams, demanding high levels of agility and resilience from district leaders.</w:t>
      </w:r>
    </w:p>
    <w:bookmarkEnd w:id="26"/>
    <w:bookmarkStart w:id="27" w:name="lessons-learned-and-future-implications"/>
    <w:p>
      <w:pPr>
        <w:pStyle w:val="Heading2"/>
      </w:pPr>
      <w:r>
        <w:t xml:space="preserve">7. Lessons Learned and Future Implications</w:t>
      </w:r>
    </w:p>
    <w:p>
      <w:pPr>
        <w:pStyle w:val="FirstParagraph"/>
      </w:pPr>
      <w:r>
        <w:t xml:space="preserve">This Case Study underscores several critical lessons for aspiring and current</w:t>
      </w:r>
      <w:r>
        <w:t xml:space="preserve"> </w:t>
      </w:r>
      <w:r>
        <w:t xml:space="preserve">Education Administrators in major urban centers across the United States Los Angeles region:</w:t>
      </w:r>
    </w:p>
    <w:p>
      <w:pPr>
        <w:numPr>
          <w:ilvl w:val="0"/>
          <w:numId w:val="1003"/>
        </w:numPr>
        <w:pStyle w:val="Compact"/>
      </w:pPr>
      <w:r>
        <w:rPr>
          <w:bCs/>
          <w:b/>
        </w:rPr>
        <w:t xml:space="preserve">Data is Essential but Insufficient Alone:</w:t>
      </w:r>
      <w:r>
        <w:t xml:space="preserve"> While data guides decision-making, human-centric policies are required to implement change effectively.</w:t>
      </w:r>
    </w:p>
    <w:p>
      <w:pPr>
        <w:numPr>
          <w:ilvl w:val="0"/>
          <w:numId w:val="1003"/>
        </w:numPr>
        <w:pStyle w:val="Compact"/>
      </w:pPr>
      <w:r>
        <w:rPr>
          <w:bCs/>
          <w:b/>
        </w:rPr>
        <w:t xml:space="preserve">Community Trust is Currency:</w:t>
      </w:r>
      <w:r>
        <w:t xml:space="preserve"> In diverse urban areas like</w:t>
      </w:r>
      <w:r>
        <w:t xml:space="preserve"> </w:t>
      </w:r>
      <w:r>
        <w:t xml:space="preserve">United States Los Angeles, trust between schools and communities is the foundation of educational success.</w:t>
      </w:r>
    </w:p>
    <w:p>
      <w:pPr>
        <w:pStyle w:val="FirstParagraph"/>
      </w:pPr>
      <w:r>
        <w:t xml:space="preserve">The role of an</w:t>
      </w:r>
      <w:r>
        <w:t xml:space="preserve"> </w:t>
      </w:r>
      <w:r>
        <w:t xml:space="preserve">Education Administrator has evolved from mere managerial oversight to that of a strategic visionary who must balance fiscal responsibility with social justice. As demographics in</w:t>
      </w:r>
      <w:r>
        <w:t xml:space="preserve"> </w:t>
      </w:r>
      <w:r>
        <w:t xml:space="preserve">United States Los Angeles continue to shift, administrators must remain adaptable, leveraging technology and community partnerships to create inclusive learning environments.</w:t>
      </w:r>
    </w:p>
    <w:bookmarkEnd w:id="27"/>
    <w:bookmarkStart w:id="28" w:name="conclusion"/>
    <w:p>
      <w:pPr>
        <w:pStyle w:val="Heading2"/>
      </w:pPr>
      <w:r>
        <w:t xml:space="preserve">8. Conclusion</w:t>
      </w:r>
    </w:p>
    <w:p>
      <w:pPr>
        <w:pStyle w:val="FirstParagraph"/>
      </w:pPr>
      <w:r>
        <w:t xml:space="preserve">The experience of this Education Administrator in</w:t>
      </w:r>
      <w:r>
        <w:t xml:space="preserve"> </w:t>
      </w:r>
      <w:r>
        <w:t xml:space="preserve">United States Los Angeles demonstrates that systemic change is possible even within large, complex bureaucratic structures. By focusing on equity, professional support for educators, and strategic resource allocation, significant academic progress can be achieved. This Case Study serves as both a testament to the resilience of school leaders and a roadmap for future administrators seeking to transform educational outcomes in urban settings across the United States.</w:t>
      </w:r>
    </w:p>
    <w:p>
      <w:pPr>
        <w:pStyle w:val="BodyText"/>
      </w:pPr>
      <w:r>
        <w:t xml:space="preserve">Ultimately, the story highlights that effective leadership is not just about managing schools; it is about empowering communities. For any Education Administrator operating within</w:t>
      </w:r>
      <w:r>
        <w:t xml:space="preserve"> </w:t>
      </w:r>
      <w:r>
        <w:t xml:space="preserve">United States Los Angeles, the mandate is clear: to lead with empathy, act with precision, and remain steadfast in the commitment to student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Education Administration</dc:title>
  <dc:creator/>
  <dc:language>en</dc:language>
  <cp:keywords/>
  <dcterms:created xsi:type="dcterms:W3CDTF">2026-07-29T06:17:16Z</dcterms:created>
  <dcterms:modified xsi:type="dcterms:W3CDTF">2026-07-29T06:17:16Z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