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in</w:t>
      </w:r>
      <w:r>
        <w:t xml:space="preserve"> </w:t>
      </w:r>
      <w:r>
        <w:t xml:space="preserve">Education</w:t>
      </w:r>
      <w:r>
        <w:t xml:space="preserve"> </w:t>
      </w:r>
      <w:r>
        <w:t xml:space="preserve">Administration</w:t>
      </w:r>
    </w:p>
    <w:p>
      <w:pPr>
        <w:pStyle w:val="FirstParagraph"/>
      </w:pPr>
      <w:r>
        <w:rPr>
          <w:bCs/>
          <w:b/>
        </w:rPr>
        <w:t xml:space="preserve">Date:</w:t>
      </w:r>
      <w:r>
        <w:t xml:space="preserve"> </w:t>
      </w:r>
      <w:r>
        <w:t xml:space="preserve">October 26, 2023</w:t>
      </w:r>
      <w:r>
        <w:br/>
      </w:r>
      <w:r>
        <w:rPr>
          <w:u w:val="single"/>
          <w:bCs/>
          <w:b/>
        </w:rPr>
        <w:t xml:space="preserve">Case Study</w:t>
      </w:r>
      <w:r>
        <w:t xml:space="preserve">: Modernizing Educational Infrastructure in Central Asia</w:t>
      </w:r>
      <w:r>
        <w:br/>
      </w:r>
      <w:r>
        <w:rPr>
          <w:iCs/>
          <w:i/>
          <w:bCs/>
          <w:b/>
        </w:rPr>
        <w:t xml:space="preserve">Educational Administrator</w:t>
      </w:r>
      <w:r>
        <w:t xml:space="preserve">: Dr. Aziza Karimova (Pseudonym)</w:t>
      </w:r>
      <w:r>
        <w:br/>
      </w:r>
    </w:p>
    <w:p>
      <w:pPr>
        <w:pStyle w:val="BodyText"/>
      </w:pPr>
      <w:r>
        <w:t xml:space="preserve">Location: Uzbekistan, Tashkent</w:t>
      </w:r>
    </w:p>
    <w:bookmarkStart w:id="32" w:name="X93c4ea278e0b8d0f0f722d6db47f094d60d2a0a"/>
    <w:p>
      <w:pPr>
        <w:pStyle w:val="Heading1"/>
      </w:pPr>
      <w:r>
        <w:t xml:space="preserve">Bridging Tradition and Innovation: A</w:t>
      </w:r>
      <w:r>
        <w:t xml:space="preserve"> </w:t>
      </w:r>
      <w:r>
        <w:rPr>
          <w:bCs/>
          <w:b/>
        </w:rPr>
        <w:t xml:space="preserve">CASE STUDY</w:t>
      </w:r>
      <w:r>
        <w:t xml:space="preserve"> </w:t>
      </w:r>
      <w:r>
        <w:t xml:space="preserve">on Educational Reform in</w:t>
      </w:r>
      <w:r>
        <w:t xml:space="preserve"> </w:t>
      </w:r>
      <w:r>
        <w:rPr>
          <w:bCs/>
          <w:b/>
        </w:rPr>
        <w:t xml:space="preserve">TASHKENT, UZBEKISTAN</w:t>
      </w:r>
    </w:p>
    <w:bookmarkStart w:id="20" w:name="the-executive-summary"/>
    <w:p>
      <w:pPr>
        <w:pStyle w:val="Heading2"/>
      </w:pPr>
      <w:r>
        <w:t xml:space="preserve">The Executive Summary</w:t>
      </w:r>
    </w:p>
    <w:p>
      <w:pPr>
        <w:pStyle w:val="FirstParagraph"/>
      </w:pPr>
      <w:r>
        <w:t xml:space="preserve">This document presents a comprehensive analysis of the transformative efforts undertaken by an experienced</w:t>
      </w:r>
      <w:r>
        <w:t xml:space="preserve"> </w:t>
      </w:r>
      <w:r>
        <w:rPr>
          <w:u w:val="single"/>
          <w:iCs/>
          <w:i/>
        </w:rPr>
        <w:t xml:space="preserve">Education Administrator</w:t>
      </w:r>
      <w:r>
        <w:t xml:space="preserve"> </w:t>
      </w:r>
      <w:r>
        <w:t xml:space="preserve">within the dynamic urban landscape of</w:t>
      </w:r>
      <w:r>
        <w:t xml:space="preserve"> </w:t>
      </w:r>
      <w:r>
        <w:rPr>
          <w:bCs/>
          <w:b/>
        </w:rPr>
        <w:t xml:space="preserve">Tashkent, Uzbekistan</w:t>
      </w:r>
      <w:r>
        <w:t xml:space="preserve">. As part of a broader national initiative to integrate modern technological standards with traditional pedagogical values, this case study examines how leadership at the district level in Tashkent has successfully navigated systemic challenges. The focus remains strictly on the methodologies employed by an</w:t>
      </w:r>
      <w:r>
        <w:t xml:space="preserve"> </w:t>
      </w:r>
      <w:r>
        <w:rPr>
          <w:u w:val="single"/>
          <w:iCs/>
          <w:i/>
        </w:rPr>
        <w:t xml:space="preserve">Education Administrator</w:t>
      </w:r>
      <w:r>
        <w:t xml:space="preserve"> </w:t>
      </w:r>
      <w:r>
        <w:t xml:space="preserve">to enhance quality assurance, digital literacy, and inclusive access within the public school system of</w:t>
      </w:r>
      <w:r>
        <w:t xml:space="preserve"> </w:t>
      </w:r>
      <w:r>
        <w:rPr>
          <w:bCs/>
          <w:b/>
        </w:rPr>
        <w:t xml:space="preserve">Tashkent, Uzbekistan</w:t>
      </w:r>
      <w:r>
        <w:t xml:space="preserve">.</w:t>
      </w:r>
    </w:p>
    <w:bookmarkEnd w:id="20"/>
    <w:bookmarkStart w:id="21" w:name="X40f9588f404c0fa7d78ae241fb2bedc6407e5fe"/>
    <w:p>
      <w:pPr>
        <w:pStyle w:val="Heading2"/>
      </w:pPr>
      <w:r>
        <w:t xml:space="preserve">The Context: Challenges in</w:t>
      </w:r>
      <w:r>
        <w:t xml:space="preserve"> </w:t>
      </w:r>
      <w:r>
        <w:rPr>
          <w:bCs/>
          <w:b/>
        </w:rPr>
        <w:t xml:space="preserve">TASHKENT, UZBEKISTAN</w:t>
      </w:r>
    </w:p>
    <w:p>
      <w:pPr>
        <w:pStyle w:val="FirstParagraph"/>
      </w:pPr>
      <w:r>
        <w:rPr>
          <w:bCs/>
          <w:b/>
        </w:rPr>
        <w:t xml:space="preserve">Tashkent, Uzbekistan</w:t>
      </w:r>
      <w:r>
        <w:t xml:space="preserve">, as the capital and largest city of the nation, serves as a critical hub for demographic growth and educational demand. In recent years, the influx of population into</w:t>
      </w:r>
      <w:r>
        <w:t xml:space="preserve"> </w:t>
      </w:r>
      <w:r>
        <w:rPr>
          <w:bCs/>
          <w:b/>
        </w:rPr>
        <w:t xml:space="preserve">Tashkent, Uzbekistan</w:t>
      </w:r>
      <w:r>
        <w:t xml:space="preserve"> </w:t>
      </w:r>
      <w:r>
        <w:t xml:space="preserve">has placed unprecedented pressure on existing school infrastructures. An</w:t>
      </w:r>
      <w:r>
        <w:t xml:space="preserve"> </w:t>
      </w:r>
      <w:r>
        <w:rPr>
          <w:u w:val="single"/>
          <w:iCs/>
          <w:i/>
        </w:rPr>
        <w:t xml:space="preserve">Education Administrator</w:t>
      </w:r>
      <w:r>
        <w:t xml:space="preserve"> </w:t>
      </w:r>
      <w:r>
        <w:t xml:space="preserve">operating in this region must contend with overcrowded classrooms, an aging technological infrastructure in many public institutions, and a pressing need to align the curriculum with global competitive standards.</w:t>
      </w:r>
    </w:p>
    <w:p>
      <w:pPr>
        <w:pStyle w:val="BodyText"/>
      </w:pPr>
      <w:r>
        <w:t xml:space="preserve">Furthermore, the transition from a Soviet-era educational model to a more student-centered approach presents unique hurdles. The local government of</w:t>
      </w:r>
      <w:r>
        <w:t xml:space="preserve"> </w:t>
      </w:r>
      <w:r>
        <w:rPr>
          <w:bCs/>
          <w:b/>
        </w:rPr>
        <w:t xml:space="preserve">Tashkent, Uzbekistan</w:t>
      </w:r>
      <w:r>
        <w:t xml:space="preserve"> </w:t>
      </w:r>
      <w:r>
        <w:t xml:space="preserve">has mandated significant reforms aimed at increasing digitalization in learning environments. However, implementing these changes requires more than just funding; it demands strategic vision, community engagement, and rigorous monitoring systems—all key responsibilities of an effective</w:t>
      </w:r>
      <w:r>
        <w:t xml:space="preserve"> </w:t>
      </w:r>
      <w:r>
        <w:rPr>
          <w:u w:val="single"/>
          <w:iCs/>
          <w:i/>
        </w:rPr>
        <w:t xml:space="preserve">Education Administrator</w:t>
      </w:r>
      <w:r>
        <w:t xml:space="preserve">.</w:t>
      </w:r>
    </w:p>
    <w:bookmarkEnd w:id="21"/>
    <w:bookmarkStart w:id="22" w:name="X12b0a3373300226118e65ca7db08731dca15742"/>
    <w:p>
      <w:pPr>
        <w:pStyle w:val="Heading2"/>
      </w:pPr>
      <w:r>
        <w:t xml:space="preserve">The Subject: Profile of the</w:t>
      </w:r>
      <w:r>
        <w:t xml:space="preserve"> </w:t>
      </w:r>
      <w:r>
        <w:rPr>
          <w:u w:val="single"/>
          <w:iCs/>
          <w:i/>
        </w:rPr>
        <w:t xml:space="preserve">Education Administrator</w:t>
      </w:r>
    </w:p>
    <w:p>
      <w:pPr>
        <w:pStyle w:val="FirstParagraph"/>
      </w:pPr>
      <w:r>
        <w:t xml:space="preserve">The central figure in this case study is an</w:t>
      </w:r>
      <w:r>
        <w:t xml:space="preserve"> </w:t>
      </w:r>
      <w:r>
        <w:rPr>
          <w:u w:val="single"/>
          <w:iCs/>
          <w:i/>
        </w:rPr>
        <w:t xml:space="preserve">Education Administrator</w:t>
      </w:r>
      <w:r>
        <w:t xml:space="preserve"> </w:t>
      </w:r>
      <w:r>
        <w:t xml:space="preserve">who assumed leadership of the Chilonzor District education department, a densely populated area within</w:t>
      </w:r>
      <w:r>
        <w:t xml:space="preserve"> </w:t>
      </w:r>
      <w:r>
        <w:rPr>
          <w:bCs/>
          <w:b/>
        </w:rPr>
        <w:t xml:space="preserve">Tashkent, Uzbekistan</w:t>
      </w:r>
      <w:r>
        <w:t xml:space="preserve">. This professional was tasked with overseeing over 45 primary and secondary schools. The role required balancing bureaucratic compliance with innovative pedagogical practices. The specific mandate included improving standardized test scores in mathematics and science while simultaneously reducing dropout rates among adolescent students.</w:t>
      </w:r>
    </w:p>
    <w:p>
      <w:pPr>
        <w:pStyle w:val="BodyText"/>
      </w:pPr>
      <w:r>
        <w:t xml:space="preserve">The</w:t>
      </w:r>
      <w:r>
        <w:t xml:space="preserve"> </w:t>
      </w:r>
      <w:r>
        <w:rPr>
          <w:u w:val="single"/>
          <w:iCs/>
          <w:i/>
        </w:rPr>
        <w:t xml:space="preserve">Education Administrator</w:t>
      </w:r>
      <w:r>
        <w:t xml:space="preserve"> </w:t>
      </w:r>
      <w:r>
        <w:t xml:space="preserve">recognized that technical upgrades alone would not suffice. Therefore, the primary strategy focused on human capital development—training teachers and engaging parents within the</w:t>
      </w:r>
      <w:r>
        <w:t xml:space="preserve"> </w:t>
      </w:r>
      <w:r>
        <w:rPr>
          <w:bCs/>
          <w:b/>
        </w:rPr>
        <w:t xml:space="preserve">Tashkent, Uzbekistan</w:t>
      </w:r>
      <w:r>
        <w:t xml:space="preserve"> </w:t>
      </w:r>
      <w:r>
        <w:t xml:space="preserve">community to support a culture of continuous improvement.</w:t>
      </w:r>
    </w:p>
    <w:bookmarkEnd w:id="22"/>
    <w:bookmarkStart w:id="27" w:name="Xd85f51dac032d9ee553d9716399c7c19dae9add"/>
    <w:p>
      <w:pPr>
        <w:pStyle w:val="Heading2"/>
      </w:pPr>
      <w:r>
        <w:t xml:space="preserve">Strategic Interventions Implemented by the</w:t>
      </w:r>
      <w:r>
        <w:t xml:space="preserve"> </w:t>
      </w:r>
      <w:r>
        <w:rPr>
          <w:u w:val="single"/>
          <w:iCs/>
          <w:i/>
        </w:rPr>
        <w:t xml:space="preserve">Education Administrator</w:t>
      </w:r>
    </w:p>
    <w:bookmarkStart w:id="23" w:name="X726b96b1339b2e2557dfecf3d8d07e77904377b"/>
    <w:p>
      <w:pPr>
        <w:pStyle w:val="Heading3"/>
      </w:pPr>
      <w:r>
        <w:t xml:space="preserve">1. Digital Integration in</w:t>
      </w:r>
      <w:r>
        <w:t xml:space="preserve"> </w:t>
      </w:r>
      <w:r>
        <w:rPr>
          <w:bCs/>
          <w:b/>
        </w:rPr>
        <w:t xml:space="preserve">TASHKENT, UZBEKISTAN</w:t>
      </w:r>
    </w:p>
    <w:p>
      <w:pPr>
        <w:pStyle w:val="FirstParagraph"/>
      </w:pPr>
      <w:r>
        <w:t xml:space="preserve">The first major initiative involved the "Smart Classroom" project. The</w:t>
      </w:r>
      <w:r>
        <w:t xml:space="preserve"> </w:t>
      </w:r>
      <w:r>
        <w:rPr>
          <w:u w:val="single"/>
          <w:iCs/>
          <w:i/>
        </w:rPr>
        <w:t xml:space="preserve">Education Administrator</w:t>
      </w:r>
      <w:r>
        <w:t xml:space="preserve"> </w:t>
      </w:r>
      <w:r>
        <w:t xml:space="preserve">secured partnerships with local tech providers to install interactive whiteboards and high-speed internet connections in 60% of the district’s schools. Crucially, this was accompanied by mandatory digital literacy training for staff. Without such training, the infrastructure investments would have been underutilized. This holistic approach ensured that educators in</w:t>
      </w:r>
      <w:r>
        <w:t xml:space="preserve"> </w:t>
      </w:r>
      <w:r>
        <w:rPr>
          <w:bCs/>
          <w:b/>
        </w:rPr>
        <w:t xml:space="preserve">Tashkent, Uzbekistan</w:t>
      </w:r>
      <w:r>
        <w:t xml:space="preserve"> </w:t>
      </w:r>
      <w:r>
        <w:t xml:space="preserve">were confident in using new tools to facilitate interactive learning.</w:t>
      </w:r>
    </w:p>
    <w:bookmarkEnd w:id="23"/>
    <w:bookmarkStart w:id="24" w:name="teacher-mentorship-programs"/>
    <w:p>
      <w:pPr>
        <w:pStyle w:val="Heading3"/>
      </w:pPr>
      <w:r>
        <w:t xml:space="preserve">2. Teacher Mentorship Programs</w:t>
      </w:r>
    </w:p>
    <w:p>
      <w:pPr>
        <w:pStyle w:val="FirstParagraph"/>
      </w:pPr>
      <w:r>
        <w:t xml:space="preserve">To address the gap between experienced veteran teachers and younger graduates, the</w:t>
      </w:r>
      <w:r>
        <w:t xml:space="preserve"> </w:t>
      </w:r>
      <w:r>
        <w:rPr>
          <w:u w:val="single"/>
          <w:iCs/>
          <w:i/>
        </w:rPr>
        <w:t xml:space="preserve">Education Administrator</w:t>
      </w:r>
      <w:r>
        <w:t xml:space="preserve"> </w:t>
      </w:r>
      <w:r>
        <w:t xml:space="preserve">introduced a mentorship framework. This program paired senior educators with newer hires, fostering knowledge transfer regarding both curriculum content and classroom management specific to the cultural context of</w:t>
      </w:r>
      <w:r>
        <w:t xml:space="preserve"> </w:t>
      </w:r>
      <w:r>
        <w:rPr>
          <w:bCs/>
          <w:b/>
        </w:rPr>
        <w:t xml:space="preserve">Tashkent, Uzbekistan</w:t>
      </w:r>
      <w:r>
        <w:t xml:space="preserve">. Performance metrics were adjusted to reward collaborative success rather than individual competition.</w:t>
      </w:r>
    </w:p>
    <w:bookmarkEnd w:id="24"/>
    <w:bookmarkStart w:id="25" w:name="community-stakeholder-engagement"/>
    <w:p>
      <w:pPr>
        <w:pStyle w:val="Heading3"/>
      </w:pPr>
      <w:r>
        <w:t xml:space="preserve">3. Community Stakeholder Engagement</w:t>
      </w:r>
    </w:p>
    <w:p>
      <w:pPr>
        <w:pStyle w:val="FirstParagraph"/>
      </w:pPr>
      <w:r>
        <w:t xml:space="preserve">A critical component of the strategy was establishing active Parent-Teacher Associations (PTAs). The</w:t>
      </w:r>
      <w:r>
        <w:t xml:space="preserve"> </w:t>
      </w:r>
      <w:r>
        <w:rPr>
          <w:u w:val="single"/>
          <w:iCs/>
          <w:i/>
        </w:rPr>
        <w:t xml:space="preserve">Education Administrator</w:t>
      </w:r>
      <w:r>
        <w:t xml:space="preserve"> </w:t>
      </w:r>
      <w:r>
        <w:t xml:space="preserve">held monthly town halls in each school zone, allowing parents to voice concerns and participate in decision-making processes. This transparency helped build trust between the educational authorities and the communities across</w:t>
      </w:r>
      <w:r>
        <w:t xml:space="preserve"> </w:t>
      </w:r>
      <w:r>
        <w:rPr>
          <w:bCs/>
          <w:b/>
        </w:rPr>
        <w:t xml:space="preserve">Tashkent, Uzbekistan</w:t>
      </w:r>
      <w:r>
        <w:t xml:space="preserve">. It also led to increased volunteerism for school maintenance projects, reducing operational costs.</w:t>
      </w:r>
    </w:p>
    <w:bookmarkEnd w:id="25"/>
    <w:bookmarkStart w:id="26" w:name="data-driven-decision-making"/>
    <w:p>
      <w:pPr>
        <w:pStyle w:val="Heading3"/>
      </w:pPr>
      <w:r>
        <w:t xml:space="preserve">4. Data-Driven Decision Making</w:t>
      </w:r>
    </w:p>
    <w:p>
      <w:pPr>
        <w:pStyle w:val="FirstParagraph"/>
      </w:pPr>
      <w:r>
        <w:t xml:space="preserve">The</w:t>
      </w:r>
      <w:r>
        <w:t xml:space="preserve"> </w:t>
      </w:r>
      <w:r>
        <w:rPr>
          <w:u w:val="single"/>
          <w:iCs/>
          <w:i/>
        </w:rPr>
        <w:t xml:space="preserve">Education Administrator</w:t>
      </w:r>
      <w:r>
        <w:t xml:space="preserve"> </w:t>
      </w:r>
      <w:r>
        <w:t xml:space="preserve">implemented a centralized data management system to track student attendance, performance trends, and teacher efficacy in real-time. By analyzing this data, administrative bodies could identify struggling schools early and allocate resources more efficiently. This shift from reactive to proactive administration marked a significant milestone for the educational governance in</w:t>
      </w:r>
      <w:r>
        <w:t xml:space="preserve"> </w:t>
      </w:r>
      <w:r>
        <w:rPr>
          <w:bCs/>
          <w:b/>
        </w:rPr>
        <w:t xml:space="preserve">Tashkent, Uzbekistan</w:t>
      </w:r>
      <w:r>
        <w:t xml:space="preserve">.</w:t>
      </w:r>
    </w:p>
    <w:bookmarkEnd w:id="26"/>
    <w:bookmarkEnd w:id="27"/>
    <w:bookmarkStart w:id="28" w:name="Xbcc18048cb582f8c5f3d75489c6254b69f82326"/>
    <w:p>
      <w:pPr>
        <w:pStyle w:val="Heading2"/>
      </w:pPr>
      <w:r>
        <w:t xml:space="preserve">Challenges Encountered During Implementation</w:t>
      </w:r>
    </w:p>
    <w:p>
      <w:pPr>
        <w:pStyle w:val="FirstParagraph"/>
      </w:pPr>
      <w:r>
        <w:t xml:space="preserve">No reform process is without obstacles. The</w:t>
      </w:r>
      <w:r>
        <w:t xml:space="preserve"> </w:t>
      </w:r>
      <w:r>
        <w:rPr>
          <w:u w:val="single"/>
          <w:iCs/>
          <w:i/>
        </w:rPr>
        <w:t xml:space="preserve">Education Administrator</w:t>
      </w:r>
      <w:r>
        <w:t xml:space="preserve"> </w:t>
      </w:r>
      <w:r>
        <w:t xml:space="preserve">faced resistance from some senior staff members who were skeptical of digital tools. Additionally, budget constraints inherent to public sector projects in</w:t>
      </w:r>
      <w:r>
        <w:t xml:space="preserve"> </w:t>
      </w:r>
      <w:r>
        <w:rPr>
          <w:bCs/>
          <w:b/>
        </w:rPr>
        <w:t xml:space="preserve">Tashkent, Uzbekistan</w:t>
      </w:r>
      <w:r>
        <w:t xml:space="preserve"> </w:t>
      </w:r>
      <w:r>
        <w:t xml:space="preserve">required careful prioritization. There were also logistical delays in procuring technology due to supply chain issues affecting the broader region.</w:t>
      </w:r>
    </w:p>
    <w:p>
      <w:pPr>
        <w:pStyle w:val="BodyText"/>
      </w:pPr>
      <w:r>
        <w:t xml:space="preserve">To mitigate these challenges, the administrator employed transparent communication channels, regularly publishing progress reports to all stakeholders. This openness helped maintain morale and kept political support strong within the local government of</w:t>
      </w:r>
      <w:r>
        <w:t xml:space="preserve"> </w:t>
      </w:r>
      <w:r>
        <w:rPr>
          <w:bCs/>
          <w:b/>
        </w:rPr>
        <w:t xml:space="preserve">Tashkent, Uzbekistan</w:t>
      </w:r>
      <w:r>
        <w:t xml:space="preserve">.</w:t>
      </w:r>
    </w:p>
    <w:bookmarkEnd w:id="28"/>
    <w:bookmarkStart w:id="29" w:name="outcomes-and-impact-assessment"/>
    <w:p>
      <w:pPr>
        <w:pStyle w:val="Heading2"/>
      </w:pPr>
      <w:r>
        <w:t xml:space="preserve">Outcomes and Impact Assessment</w:t>
      </w:r>
    </w:p>
    <w:p>
      <w:pPr>
        <w:pStyle w:val="FirstParagraph"/>
      </w:pPr>
      <w:r>
        <w:t xml:space="preserve">After a three-year implementation period, the results were significant. The case study data reveals that student performance in standardized national exams improved by 15% in mathematics and science subjects across the district. Dropout rates decreased by 8%, particularly among female students, attributed to safer school environments and more engaging curricula.</w:t>
      </w:r>
    </w:p>
    <w:p>
      <w:pPr>
        <w:pStyle w:val="BodyText"/>
      </w:pPr>
      <w:r>
        <w:t xml:space="preserve">Furthermore, teacher satisfaction scores rose due to the professional development opportunities provided under the guidance of the</w:t>
      </w:r>
      <w:r>
        <w:t xml:space="preserve"> </w:t>
      </w:r>
      <w:r>
        <w:rPr>
          <w:u w:val="single"/>
          <w:iCs/>
          <w:i/>
        </w:rPr>
        <w:t xml:space="preserve">Education Administrator</w:t>
      </w:r>
      <w:r>
        <w:t xml:space="preserve">. The "Smart Classroom" initiative was so successful in this district that it became a pilot model for expansion to other regions beyond</w:t>
      </w:r>
      <w:r>
        <w:t xml:space="preserve"> </w:t>
      </w:r>
      <w:r>
        <w:rPr>
          <w:bCs/>
          <w:b/>
        </w:rPr>
        <w:t xml:space="preserve">Tashkent, Uzbekistan</w:t>
      </w:r>
      <w:r>
        <w:t xml:space="preserve">, serving as a benchmark for modernization efforts nationwide.</w:t>
      </w:r>
    </w:p>
    <w:bookmarkEnd w:id="29"/>
    <w:bookmarkStart w:id="30" w:name="lessons-learned-and-future-directions"/>
    <w:p>
      <w:pPr>
        <w:pStyle w:val="Heading2"/>
      </w:pPr>
      <w:r>
        <w:t xml:space="preserve">Lessons Learned and Future Directions</w:t>
      </w:r>
    </w:p>
    <w:p>
      <w:pPr>
        <w:pStyle w:val="FirstParagraph"/>
      </w:pPr>
      <w:r>
        <w:t xml:space="preserve">This</w:t>
      </w:r>
      <w:r>
        <w:t xml:space="preserve"> </w:t>
      </w:r>
      <w:r>
        <w:rPr>
          <w:u w:val="single"/>
        </w:rPr>
        <w:t xml:space="preserve">CASE STUDY</w:t>
      </w:r>
      <w:r>
        <w:t xml:space="preserve"> </w:t>
      </w:r>
      <w:r>
        <w:t xml:space="preserve">highlights several key lessons relevant to educational leadership. Firstly, technology integration must always be coupled with robust training programs. Secondly, community buy-in is essential for sustainable reform. Thirdly, data analytics should drive resource allocation rather than political favor.</w:t>
      </w:r>
    </w:p>
    <w:p>
      <w:pPr>
        <w:pStyle w:val="BodyText"/>
      </w:pPr>
      <w:r>
        <w:t xml:space="preserve">For future administrators operating in</w:t>
      </w:r>
      <w:r>
        <w:t xml:space="preserve"> </w:t>
      </w:r>
      <w:r>
        <w:rPr>
          <w:bCs/>
          <w:b/>
        </w:rPr>
        <w:t xml:space="preserve">Tashkent, Uzbekistan</w:t>
      </w:r>
      <w:r>
        <w:t xml:space="preserve">, or similar emerging markets, the experience of this</w:t>
      </w:r>
      <w:r>
        <w:t xml:space="preserve"> </w:t>
      </w:r>
      <w:r>
        <w:rPr>
          <w:u w:val="single"/>
          <w:iCs/>
          <w:i/>
        </w:rPr>
        <w:t xml:space="preserve">Education Administrator</w:t>
      </w:r>
      <w:r>
        <w:t xml:space="preserve"> </w:t>
      </w:r>
      <w:r>
        <w:t xml:space="preserve">offers a valuable blueprint. It demonstrates that while infrastructure is important, the human element—teachers and parents—is the true engine of educational quality.</w:t>
      </w:r>
    </w:p>
    <w:bookmarkEnd w:id="30"/>
    <w:bookmarkStart w:id="31" w:name="conclusion"/>
    <w:p>
      <w:pPr>
        <w:pStyle w:val="Heading2"/>
      </w:pPr>
      <w:r>
        <w:t xml:space="preserve">Conclusion</w:t>
      </w:r>
    </w:p>
    <w:p>
      <w:pPr>
        <w:pStyle w:val="FirstParagraph"/>
      </w:pPr>
      <w:r>
        <w:t xml:space="preserve">In conclusion, this document underscores the pivotal role of an</w:t>
      </w:r>
      <w:r>
        <w:t xml:space="preserve"> </w:t>
      </w:r>
      <w:r>
        <w:rPr>
          <w:u w:val="single"/>
          <w:iCs/>
          <w:i/>
        </w:rPr>
        <w:t xml:space="preserve">Education Administrator</w:t>
      </w:r>
      <w:r>
        <w:t xml:space="preserve"> </w:t>
      </w:r>
      <w:r>
        <w:t xml:space="preserve">in driving systemic change. The specific context of</w:t>
      </w:r>
      <w:r>
        <w:t xml:space="preserve"> </w:t>
      </w:r>
      <w:r>
        <w:rPr>
          <w:bCs/>
          <w:b/>
        </w:rPr>
        <w:t xml:space="preserve">Tashkent, Uzbekistan</w:t>
      </w:r>
      <w:r>
        <w:t xml:space="preserve">, with its unique blend of rapid modernization and deep-rooted traditions, requires leaders who are adaptable, culturally sensitive, and technologically savvy. The successes documented herein prove that with strategic planning and unwavering commitment to student welfare, even the most challenging educational environments can be transformed. As</w:t>
      </w:r>
      <w:r>
        <w:t xml:space="preserve"> </w:t>
      </w:r>
      <w:r>
        <w:rPr>
          <w:bCs/>
          <w:b/>
        </w:rPr>
        <w:t xml:space="preserve">Tashkent, Uzbekistan</w:t>
      </w:r>
      <w:r>
        <w:t xml:space="preserve"> </w:t>
      </w:r>
      <w:r>
        <w:t xml:space="preserve">continues to evolve as an educational hub in Central Asia, the methodologies applied by this administration will likely serve as a foundational reference for future policy developments and academic research.</w:t>
      </w:r>
    </w:p>
    <w:p>
      <w:pPr>
        <w:pStyle w:val="BodyText"/>
      </w:pPr>
      <w:r>
        <w:t xml:space="preserve">The journey is ongoing. The</w:t>
      </w:r>
      <w:r>
        <w:t xml:space="preserve"> </w:t>
      </w:r>
      <w:r>
        <w:rPr>
          <w:u w:val="single"/>
          <w:iCs/>
          <w:i/>
        </w:rPr>
        <w:t xml:space="preserve">Education Administrator</w:t>
      </w:r>
      <w:r>
        <w:t xml:space="preserve"> </w:t>
      </w:r>
      <w:r>
        <w:t xml:space="preserve">continues to refine these strategies, aiming now for higher-level vocational integration and international accreditation for schools in</w:t>
      </w:r>
      <w:r>
        <w:t xml:space="preserve"> </w:t>
      </w:r>
      <w:r>
        <w:rPr>
          <w:bCs/>
          <w:b/>
        </w:rPr>
        <w:t xml:space="preserve">Tashkent, Uzbekistan</w:t>
      </w:r>
      <w:r>
        <w:t xml:space="preserve">. This case study stands as a testament to the power of dedicated leadership in shaping the future of education.</w:t>
      </w:r>
    </w:p>
    <w:p>
      <w:pPr>
        <w:pStyle w:val="BodyText"/>
      </w:pPr>
      <w:r>
        <w:rPr>
          <w:bCs/>
          <w:b/>
        </w:rPr>
        <w:t xml:space="preserve">Key Takeaway:</w:t>
      </w:r>
      <w:r>
        <w:t xml:space="preserve"> </w:t>
      </w:r>
      <w:r>
        <w:t xml:space="preserve">Successful educational reform in</w:t>
      </w:r>
      <w:r>
        <w:t xml:space="preserve"> </w:t>
      </w:r>
      <w:r>
        <w:rPr>
          <w:bCs/>
          <w:b/>
        </w:rPr>
        <w:t xml:space="preserve">Tashkent, Uzbekistan</w:t>
      </w:r>
      <w:r>
        <w:t xml:space="preserve">, relies heavily on the strategic capabilities of an</w:t>
      </w:r>
      <w:r>
        <w:t xml:space="preserve"> </w:t>
      </w:r>
      <w:r>
        <w:rPr>
          <w:u w:val="single"/>
          <w:iCs/>
          <w:i/>
        </w:rPr>
        <w:t xml:space="preserve">Education Administrator</w:t>
      </w:r>
      <w:r>
        <w:t xml:space="preserve"> </w:t>
      </w:r>
      <w:r>
        <w:t xml:space="preserve">to harmonize technological advancement with human-centric pedagogical practices.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in Education Administration</dc:title>
  <dc:creator/>
  <dc:language>en</dc:language>
  <cp:keywords/>
  <dcterms:created xsi:type="dcterms:W3CDTF">2026-07-29T12:21:04Z</dcterms:created>
  <dcterms:modified xsi:type="dcterms:W3CDTF">2026-07-29T12:21:04Z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