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the</w:t>
      </w:r>
      <w:r>
        <w:t xml:space="preserve"> </w:t>
      </w:r>
      <w:r>
        <w:t xml:space="preserve">Electrical</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1" w:name="Xa14e26700324acfaaa993fe92e36b33d85c1353"/>
    <w:p>
      <w:pPr>
        <w:pStyle w:val="Heading1"/>
      </w:pPr>
      <w:r>
        <w:t xml:space="preserve">Case Study: Strategic Electrical Engineering Interventions in the Post-Conflict Reconstruction of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 Ongoing Maintenance Phase</w:t>
      </w:r>
      <w:r>
        <w:br/>
      </w:r>
      <w:r>
        <w:rPr>
          <w:bCs/>
          <w:b/>
        </w:rPr>
        <w:t xml:space="preserve">Jurisdiction:</w:t>
      </w:r>
      <w:r>
        <w:t xml:space="preserve"> </w:t>
      </w:r>
      <w:r>
        <w:t xml:space="preserve">Baghdad, Iraq</w:t>
      </w:r>
    </w:p>
    <w:bookmarkStart w:id="20" w:name="executive-summary"/>
    <w:p>
      <w:pPr>
        <w:pStyle w:val="Heading2"/>
      </w:pPr>
      <w:r>
        <w:t xml:space="preserve">1. Executive Summary</w:t>
      </w:r>
    </w:p>
    <w:p>
      <w:pPr>
        <w:pStyle w:val="FirstParagraph"/>
      </w:pPr>
      <w:r>
        <w:t xml:space="preserve">This Case Study details the critical role of the</w:t>
      </w:r>
      <w:r>
        <w:t xml:space="preserve"> </w:t>
      </w:r>
      <w:hyperlink w:anchor="Xa39a3ee5e6b4b0d3255bfef95601890afd80709">
        <w:r>
          <w:rPr>
            <w:rStyle w:val="Hyperlink"/>
            <w:bCs/>
            <w:b/>
          </w:rPr>
          <w:t xml:space="preserve">Electrical Engineer</w:t>
        </w:r>
      </w:hyperlink>
      <w:r>
        <w:t xml:space="preserve"> </w:t>
      </w:r>
      <w:r>
        <w:t xml:space="preserve">in the complex rehabilitation of power distribution networks within</w:t>
      </w:r>
      <w:r>
        <w:t xml:space="preserve"> </w:t>
      </w:r>
      <w:hyperlink w:anchor="Xa39a3ee5e6b4b0d3255bfef95601890afd80709">
        <w:r>
          <w:rPr>
            <w:rStyle w:val="Hyperlink"/>
            <w:bCs/>
            <w:b/>
          </w:rPr>
          <w:t xml:space="preserve">Iraq Baghdad</w:t>
        </w:r>
      </w:hyperlink>
      <w:r>
        <w:t xml:space="preserve">. Following years of infrastructure degradation due to conflict and economic volatility, Baghdad faced chronic electricity shortages, unstable voltage levels, and significant technical losses. This document explores how specialized engineering expertise was deployed to restore reliability, integrate renewable energy sources where feasible, and implement sustainable management practices for the capital's grid.</w:t>
      </w:r>
    </w:p>
    <w:bookmarkEnd w:id="20"/>
    <w:bookmarkStart w:id="21" w:name="background-the-challenge-in-iraq-baghdad"/>
    <w:p>
      <w:pPr>
        <w:pStyle w:val="Heading2"/>
      </w:pPr>
      <w:r>
        <w:t xml:space="preserve">2. Background: The Challenge in Iraq Baghdad</w:t>
      </w:r>
    </w:p>
    <w:p>
      <w:pPr>
        <w:pStyle w:val="FirstParagraph"/>
      </w:pPr>
      <w:r>
        <w:t xml:space="preserve">The city of</w:t>
      </w:r>
      <w:r>
        <w:t xml:space="preserve"> </w:t>
      </w:r>
      <w:hyperlink w:anchor="Xa39a3ee5e6b4b0d3255bfef95601890afd80709">
        <w:r>
          <w:rPr>
            <w:rStyle w:val="Hyperlink"/>
            <w:bCs/>
            <w:b/>
          </w:rPr>
          <w:t xml:space="preserve">Iraq Baghdad</w:t>
        </w:r>
      </w:hyperlink>
      <w:r>
        <w:t xml:space="preserve">, as the political and economic heart of the nation, relies heavily on a centralized power generation system that has struggled to meet peak demand. Historically, the grid suffered from:</w:t>
      </w:r>
    </w:p>
    <w:p>
      <w:pPr>
        <w:numPr>
          <w:ilvl w:val="0"/>
          <w:numId w:val="1001"/>
        </w:numPr>
        <w:pStyle w:val="Compact"/>
      </w:pPr>
      <w:r>
        <w:rPr>
          <w:bCs/>
          <w:b/>
        </w:rPr>
        <w:t xml:space="preserve">Generation Deficit:</w:t>
      </w:r>
      <w:r>
        <w:t xml:space="preserve"> </w:t>
      </w:r>
      <w:r>
        <w:t xml:space="preserve">A gap between electricity demand (often exceeding 12,000 MW in summer) and available supply.</w:t>
      </w:r>
    </w:p>
    <w:p>
      <w:pPr>
        <w:numPr>
          <w:ilvl w:val="0"/>
          <w:numId w:val="1001"/>
        </w:numPr>
        <w:pStyle w:val="Compact"/>
      </w:pPr>
      <w:r>
        <w:t xml:space="preserve">Aging Infrastructure:&gt; Transformers, switchgear, and transmission lines dating back decades were prone to failure.</w:t>
      </w:r>
    </w:p>
    <w:p>
      <w:pPr>
        <w:numPr>
          <w:ilvl w:val="0"/>
          <w:numId w:val="1001"/>
        </w:numPr>
        <w:pStyle w:val="Compact"/>
      </w:pPr>
      <w:r>
        <w:rPr>
          <w:bCs/>
          <w:b/>
        </w:rPr>
        <w:t xml:space="preserve">Theft and Non-Technical Losses:</w:t>
      </w:r>
    </w:p>
    <w:p>
      <w:pPr>
        <w:numPr>
          <w:ilvl w:val="0"/>
          <w:numId w:val="1000"/>
        </w:numPr>
        <w:pStyle w:val="Compact"/>
      </w:pPr>
      <w:r>
        <w:t xml:space="preserve">Inefficient metering systems led to widespread electricity theft, further straining the available capacity.</w:t>
      </w:r>
    </w:p>
    <w:p>
      <w:pPr>
        <w:numPr>
          <w:ilvl w:val="0"/>
          <w:numId w:val="1001"/>
        </w:numPr>
        <w:pStyle w:val="Compact"/>
      </w:pPr>
      <w:r>
        <w:rPr>
          <w:bCs/>
          <w:b/>
        </w:rPr>
        <w:t xml:space="preserve">Voltage Instability:</w:t>
      </w:r>
    </w:p>
    <w:p>
      <w:pPr>
        <w:numPr>
          <w:ilvl w:val="0"/>
          <w:numId w:val="1000"/>
        </w:numPr>
        <w:pStyle w:val="Compact"/>
      </w:pPr>
      <w:r>
        <w:t xml:space="preserve">Frequent fluctuations damaged household appliances and industrial machinery across the region.</w:t>
      </w:r>
    </w:p>
    <w:p>
      <w:pPr>
        <w:pStyle w:val="FirstParagraph"/>
      </w:pPr>
      <w:r>
        <w:t xml:space="preserve">The mandate given to the project team was not merely repair, but modernization. This required a multidisciplinary approach led by senior</w:t>
      </w:r>
      <w:r>
        <w:t xml:space="preserve"> </w:t>
      </w:r>
      <w:hyperlink w:anchor="Xa39a3ee5e6b4b0d3255bfef95601890afd80709">
        <w:r>
          <w:rPr>
            <w:rStyle w:val="Hyperlink"/>
            <w:bCs/>
            <w:b/>
          </w:rPr>
          <w:t xml:space="preserve">Electrical Engineer</w:t>
        </w:r>
      </w:hyperlink>
      <w:r>
        <w:t xml:space="preserve">s who understood both legacy systems and modern smart grid technologies.</w:t>
      </w:r>
    </w:p>
    <w:bookmarkEnd w:id="21"/>
    <w:bookmarkStart w:id="25" w:name="Xecfa42f80169306b0f24294a33905e103c925b2"/>
    <w:p>
      <w:pPr>
        <w:pStyle w:val="Heading2"/>
      </w:pPr>
      <w:r>
        <w:t xml:space="preserve">3. The Role of the Electrical Engineer in this Context</w:t>
      </w:r>
    </w:p>
    <w:p>
      <w:pPr>
        <w:pStyle w:val="FirstParagraph"/>
      </w:pPr>
      <w:r>
        <w:t xml:space="preserve">In the specific context of</w:t>
      </w:r>
    </w:p>
    <w:p>
      <w:pPr>
        <w:pStyle w:val="BodyText"/>
      </w:pPr>
      <w:hyperlink w:anchor="Xa39a3ee5e6b4b0d3255bfef95601890afd80709">
        <w:r>
          <w:rPr>
            <w:rStyle w:val="Hyperlink"/>
          </w:rPr>
          <w:t xml:space="preserve">Iraq Baghdad</w:t>
        </w:r>
      </w:hyperlink>
      <w:r>
        <w:t xml:space="preserve">, the responsibilities of an</w:t>
      </w:r>
      <w:r>
        <w:t xml:space="preserve"> </w:t>
      </w:r>
      <w:hyperlink w:anchor="Xa39a3ee5e6b4b0d3255bfef95601890afd80709">
        <w:r>
          <w:rPr>
            <w:rStyle w:val="Hyperlink"/>
            <w:bCs/>
            <w:b/>
          </w:rPr>
          <w:t xml:space="preserve">Electrical Engineer</w:t>
        </w:r>
      </w:hyperlink>
      <w:r>
        <w:t xml:space="preserve"> </w:t>
      </w:r>
      <w:r>
        <w:t xml:space="preserve">extend far beyond standard technical calculations. The professional must navigate a unique set of environmental, logistical, and political challenges.</w:t>
      </w:r>
    </w:p>
    <w:bookmarkStart w:id="22" w:name="technical-assessment-and-load-analysis"/>
    <w:p>
      <w:pPr>
        <w:pStyle w:val="Heading3"/>
      </w:pPr>
      <w:r>
        <w:t xml:space="preserve">3.1 Technical Assessment and Load Analysis</w:t>
      </w:r>
    </w:p>
    <w:p>
      <w:pPr>
        <w:pStyle w:val="FirstParagraph"/>
      </w:pPr>
      <w:r>
        <w:t xml:space="preserve">The initial phase involved comprehensive load flow analysis. Engineers utilized software such as ETAP and SKM PowerTools to model the existing distribution network in Baghdad. This allowed for the identification of bottleneck nodes where voltage drops were most severe. The</w:t>
      </w:r>
      <w:r>
        <w:t xml:space="preserve"> </w:t>
      </w:r>
      <w:hyperlink w:anchor="Xa39a3ee5e6b4b0d3255bfef95601890afd80709">
        <w:r>
          <w:rPr>
            <w:rStyle w:val="Hyperlink"/>
            <w:bCs/>
            <w:b/>
          </w:rPr>
          <w:t xml:space="preserve">Electrical Engineer</w:t>
        </w:r>
      </w:hyperlink>
      <w:r>
        <w:t xml:space="preserve"> </w:t>
      </w:r>
      <w:r>
        <w:t xml:space="preserve">had to account for extreme environmental conditions, including high ambient temperatures which reduce transformer efficiency and increase line resistance.</w:t>
      </w:r>
    </w:p>
    <w:bookmarkEnd w:id="22"/>
    <w:bookmarkStart w:id="23" w:name="supply-chain-and-localization"/>
    <w:p>
      <w:pPr>
        <w:pStyle w:val="Heading3"/>
      </w:pPr>
      <w:r>
        <w:t xml:space="preserve">3.2 Supply Chain and Localization</w:t>
      </w:r>
    </w:p>
    <w:p>
      <w:pPr>
        <w:pStyle w:val="FirstParagraph"/>
      </w:pPr>
      <w:r>
        <w:t xml:space="preserve">A significant challenge in Iraq has been the procurement of high-quality electrical components. The project team, guided by lead engineers, had to balance international standards (IEEE/IEC) with local availability. This involved qualifying local suppliers for copper cabling and steel towers while importing specialized protection relays and SCADA systems from international partners.</w:t>
      </w:r>
    </w:p>
    <w:bookmarkEnd w:id="23"/>
    <w:bookmarkStart w:id="24" w:name="X6787bbcb1f92c1ecb932b3e5faf080203e5d927"/>
    <w:p>
      <w:pPr>
        <w:pStyle w:val="Heading3"/>
      </w:pPr>
      <w:r>
        <w:t xml:space="preserve">3.3 Integration of Distributed Energy Resources</w:t>
      </w:r>
    </w:p>
    <w:p>
      <w:pPr>
        <w:pStyle w:val="FirstParagraph"/>
      </w:pPr>
      <w:r>
        <w:t xml:space="preserve">To alleviate pressure on the central grid, the engineering team designed hybrid solutions. In specific districts of Baghdad, rooftop solar photovoltaic (PV) systems were integrated into residential and commercial buildings. The</w:t>
      </w:r>
      <w:r>
        <w:t xml:space="preserve"> </w:t>
      </w:r>
      <w:hyperlink w:anchor="Xa39a3ee5e6b4b0d3255bfef95601890afd80709">
        <w:r>
          <w:rPr>
            <w:rStyle w:val="Hyperlink"/>
            <w:bCs/>
            <w:b/>
          </w:rPr>
          <w:t xml:space="preserve">Electrical Engineer</w:t>
        </w:r>
      </w:hyperlink>
      <w:r>
        <w:t xml:space="preserve"> </w:t>
      </w:r>
      <w:r>
        <w:t xml:space="preserve">was responsible for designing the inverter synchronization protocols to ensure that excess power fed back into the grid did not cause harmonic distortions or safety hazards.</w:t>
      </w:r>
    </w:p>
    <w:bookmarkEnd w:id="24"/>
    <w:bookmarkEnd w:id="25"/>
    <w:bookmarkStart w:id="26" w:name="implementation-strategy"/>
    <w:p>
      <w:pPr>
        <w:pStyle w:val="Heading2"/>
      </w:pPr>
      <w:r>
        <w:t xml:space="preserve">4. Implementation Strategy</w:t>
      </w:r>
    </w:p>
    <w:p>
      <w:pPr>
        <w:pStyle w:val="FirstParagraph"/>
      </w:pPr>
      <w:r>
        <w:t xml:space="preserve">The execution phase followed a phased approach, prioritizing high-density areas and critical infrastructure such as hospitals and government facilities.</w:t>
      </w:r>
    </w:p>
    <w:p>
      <w:pPr>
        <w:numPr>
          <w:ilvl w:val="0"/>
          <w:numId w:val="1002"/>
        </w:numPr>
        <w:pStyle w:val="Compact"/>
      </w:pPr>
      <w:r>
        <w:rPr>
          <w:bCs/>
          <w:b/>
        </w:rPr>
        <w:t xml:space="preserve">Distribution Automation:</w:t>
      </w:r>
    </w:p>
    <w:p>
      <w:pPr>
        <w:numPr>
          <w:ilvl w:val="0"/>
          <w:numId w:val="1000"/>
        </w:numPr>
        <w:pStyle w:val="Compact"/>
      </w:pPr>
      <w:r>
        <w:t xml:space="preserve">Installation of remote-controlled sectionalizers allowed engineers in Baghdad’s central control room to isolate faults rapidly, restoring power to unaffected sectors within minutes rather than hours.</w:t>
      </w:r>
    </w:p>
    <w:p>
      <w:pPr>
        <w:numPr>
          <w:ilvl w:val="0"/>
          <w:numId w:val="1002"/>
        </w:numPr>
        <w:pStyle w:val="Compact"/>
      </w:pPr>
      <w:r>
        <w:rPr>
          <w:bCs/>
          <w:b/>
        </w:rPr>
        <w:t xml:space="preserve">Metering Modernization:</w:t>
      </w:r>
    </w:p>
    <w:p>
      <w:pPr>
        <w:numPr>
          <w:ilvl w:val="0"/>
          <w:numId w:val="1000"/>
        </w:numPr>
        <w:pStyle w:val="Compact"/>
      </w:pPr>
      <w:r>
        <w:t xml:space="preserve">The deployment of smart meters with pre-payment capabilities was crucial. This initiative required rigorous testing by engineers to ensure accuracy and resistance against tampering, directly addressing the issue of non-technical losses.</w:t>
      </w:r>
    </w:p>
    <w:p>
      <w:pPr>
        <w:numPr>
          <w:ilvl w:val="0"/>
          <w:numId w:val="1002"/>
        </w:numPr>
        <w:pStyle w:val="Compact"/>
      </w:pPr>
      <w:r>
        <w:rPr>
          <w:bCs/>
          <w:b/>
        </w:rPr>
        <w:t xml:space="preserve">Cable Undergrounding:</w:t>
      </w:r>
    </w:p>
    <w:p>
      <w:pPr>
        <w:numPr>
          <w:ilvl w:val="0"/>
          <w:numId w:val="1000"/>
        </w:numPr>
        <w:pStyle w:val="Compact"/>
      </w:pPr>
      <w:r>
        <w:t xml:space="preserve">In historic districts of Baghdad where overhead lines were visually intrusive or vulnerable to damage, engineers designed underground cable routes. This required detailed GIS mapping and coordination with other utility providers (water and sewage).</w:t>
      </w:r>
    </w:p>
    <w:bookmarkEnd w:id="26"/>
    <w:bookmarkStart w:id="27" w:name="challenges-and-solutions"/>
    <w:p>
      <w:pPr>
        <w:pStyle w:val="Heading2"/>
      </w:pPr>
      <w:r>
        <w:t xml:space="preserve">5. Challenges and Solutions</w:t>
      </w:r>
    </w:p>
    <w:p>
      <w:pPr>
        <w:pStyle w:val="FirstParagraph"/>
      </w:pPr>
      <w:hyperlink w:anchor="Xa39a3ee5e6b4b0d3255bfef95601890afd80709">
        <w:r>
          <w:rPr>
            <w:rStyle w:val="Hyperlink"/>
            <w:bCs/>
            <w:b/>
          </w:rPr>
          <w:t xml:space="preserve">Electrical Engineer</w:t>
        </w:r>
      </w:hyperlink>
      <w:r>
        <w:t xml:space="preserve"> </w:t>
      </w:r>
      <w:r>
        <w:t xml:space="preserve">Challenge: Technical Losses due to Overloading.</w:t>
      </w:r>
      <w:r>
        <w:br/>
      </w:r>
      <w:r>
        <w:rPr>
          <w:iCs/>
          <w:i/>
        </w:rPr>
        <w:t xml:space="preserve">Solution:</w:t>
      </w:r>
    </w:p>
    <w:p>
      <w:pPr>
        <w:pStyle w:val="BodyText"/>
      </w:pPr>
      <w:r>
        <w:t xml:space="preserve">The engineering team implemented dynamic load management systems. By analyzing historical consumption data, algorithms were developed to shed non-critical loads during peak hours automatically, preventing transformer blowouts.</w:t>
      </w:r>
    </w:p>
    <w:p>
      <w:pPr>
        <w:pStyle w:val="BodyText"/>
      </w:pPr>
      <w:hyperlink w:anchor="Xa39a3ee5e6b4b0d3255bfef95601890afd80709">
        <w:r>
          <w:rPr>
            <w:rStyle w:val="Hyperlink"/>
            <w:bCs/>
            <w:b/>
          </w:rPr>
          <w:t xml:space="preserve">Iraq Baghdad</w:t>
        </w:r>
      </w:hyperlink>
      <w:r>
        <w:t xml:space="preserve"> </w:t>
      </w:r>
      <w:r>
        <w:t xml:space="preserve">Challenge: Extreme Heat and Dust.</w:t>
      </w:r>
      <w:r>
        <w:br/>
      </w:r>
      <w:r>
        <w:rPr>
          <w:iCs/>
          <w:i/>
        </w:rPr>
        <w:t xml:space="preserve">Solution:</w:t>
      </w:r>
    </w:p>
    <w:p>
      <w:pPr>
        <w:pStyle w:val="BodyText"/>
      </w:pPr>
      <w:r>
        <w:t xml:space="preserve">All outdoor electrical equipment was rated for higher IP (Ingress Protection) standards. Cooling systems for substations were upgraded with industrial-grade air filtration to prevent dust accumulation, which can lead to overheating and flashovers.</w:t>
      </w:r>
    </w:p>
    <w:bookmarkEnd w:id="27"/>
    <w:bookmarkStart w:id="28" w:name="outcomes-and-impact"/>
    <w:p>
      <w:pPr>
        <w:pStyle w:val="Heading2"/>
      </w:pPr>
      <w:r>
        <w:t xml:space="preserve">6. Outcomes and Impact</w:t>
      </w:r>
    </w:p>
    <w:p>
      <w:pPr>
        <w:pStyle w:val="FirstParagraph"/>
      </w:pPr>
      <w:r>
        <w:t xml:space="preserve">The intervention has yielded measurable improvements in the power sector of</w:t>
      </w:r>
      <w:r>
        <w:t xml:space="preserve"> </w:t>
      </w:r>
      <w:hyperlink w:anchor="Xa39a3ee5e6b4b0d3255bfef95601890afd80709">
        <w:r>
          <w:rPr>
            <w:rStyle w:val="Hyperlink"/>
            <w:bCs/>
            <w:b/>
          </w:rPr>
          <w:t xml:space="preserve">Iraq Baghdad</w:t>
        </w:r>
      </w:hyperlink>
      <w:r>
        <w:t xml:space="preserve">. Key metrics include:</w:t>
      </w:r>
    </w:p>
    <w:p>
      <w:pPr>
        <w:numPr>
          <w:ilvl w:val="0"/>
          <w:numId w:val="1003"/>
        </w:numPr>
        <w:pStyle w:val="Compact"/>
      </w:pPr>
      <w:r>
        <w:rPr>
          <w:bCs/>
          <w:b/>
        </w:rPr>
        <w:t xml:space="preserve">Reduced Outage Time:</w:t>
      </w:r>
    </w:p>
    <w:p>
      <w:pPr>
        <w:numPr>
          <w:ilvl w:val="0"/>
          <w:numId w:val="1000"/>
        </w:numPr>
        <w:pStyle w:val="Compact"/>
      </w:pPr>
      <w:r>
        <w:t xml:space="preserve">Average interruption duration per household decreased by 40% within the first year of implementation.</w:t>
      </w:r>
    </w:p>
    <w:p>
      <w:pPr>
        <w:numPr>
          <w:ilvl w:val="0"/>
          <w:numId w:val="1003"/>
        </w:numPr>
        <w:pStyle w:val="Compact"/>
      </w:pPr>
      <w:r>
        <w:rPr>
          <w:bCs/>
          <w:b/>
        </w:rPr>
        <w:t xml:space="preserve">Voltage Stability:</w:t>
      </w:r>
    </w:p>
    <w:p>
      <w:pPr>
        <w:numPr>
          <w:ilvl w:val="0"/>
          <w:numId w:val="1000"/>
        </w:numPr>
        <w:pStyle w:val="Compact"/>
      </w:pPr>
      <w:r>
        <w:t xml:space="preserve">Variance in voltage levels remained within ±10% of the nominal 230V, significantly extending the lifespan of consumer electronics.</w:t>
      </w:r>
    </w:p>
    <w:p>
      <w:pPr>
        <w:numPr>
          <w:ilvl w:val="0"/>
          <w:numId w:val="1003"/>
        </w:numPr>
        <w:pStyle w:val="Compact"/>
      </w:pPr>
      <w:r>
        <w:rPr>
          <w:bCs/>
          <w:b/>
        </w:rPr>
        <w:t xml:space="preserve">Economic Relief:</w:t>
      </w:r>
    </w:p>
    <w:p>
      <w:pPr>
        <w:numPr>
          <w:ilvl w:val="0"/>
          <w:numId w:val="1000"/>
        </w:numPr>
        <w:pStyle w:val="Compact"/>
      </w:pPr>
      <w:r>
        <w:t xml:space="preserve">Households reported a significant reduction in spending on private diesel generators, freeing up disposable income and reducing carbon emissions.</w:t>
      </w:r>
    </w:p>
    <w:bookmarkEnd w:id="28"/>
    <w:bookmarkStart w:id="29" w:name="lessons-learned-for-future-projects"/>
    <w:p>
      <w:pPr>
        <w:pStyle w:val="Heading2"/>
      </w:pPr>
      <w:r>
        <w:t xml:space="preserve">7. Lessons Learned for Future Projects</w:t>
      </w:r>
    </w:p>
    <w:p>
      <w:pPr>
        <w:pStyle w:val="FirstParagraph"/>
      </w:pPr>
      <w:r>
        <w:t xml:space="preserve">This case study underscores the necessity of empowering local engineering talent. While international expertise was vital for system design, long-term sustainability depends on the capacity of Iraqi engineers to maintain these systems. Therefore, a major component of this project was knowledge transfer.</w:t>
      </w:r>
    </w:p>
    <w:p>
      <w:pPr>
        <w:pStyle w:val="BodyText"/>
      </w:pPr>
      <w:r>
        <w:t xml:space="preserve">The role of the</w:t>
      </w:r>
      <w:r>
        <w:t xml:space="preserve"> </w:t>
      </w:r>
      <w:hyperlink w:anchor="Xa39a3ee5e6b4b0d3255bfef95601890afd80709">
        <w:r>
          <w:rPr>
            <w:rStyle w:val="Hyperlink"/>
            <w:bCs/>
            <w:b/>
          </w:rPr>
          <w:t xml:space="preserve">Electrical Engineer</w:t>
        </w:r>
      </w:hyperlink>
      <w:r>
        <w:t xml:space="preserve"> </w:t>
      </w:r>
      <w:r>
        <w:t xml:space="preserve">in developing nations is not just about technical competence but also about adaptability. In the unique socio-political landscape of</w:t>
      </w:r>
    </w:p>
    <w:p>
      <w:pPr>
        <w:pStyle w:val="BodyText"/>
      </w:pPr>
      <w:hyperlink w:anchor="Xa39a3ee5e6b4b0d3255bfef95601890afd80709">
        <w:r>
          <w:rPr>
            <w:rStyle w:val="Hyperlink"/>
          </w:rPr>
          <w:t xml:space="preserve">Iraq Baghdad</w:t>
        </w:r>
      </w:hyperlink>
      <w:r>
        <w:t xml:space="preserve">, engineers must act as mediators between technical feasibility and societal needs. Future projects should prioritize community engagement alongside technological upgrades to ensure that infrastructure improvements are respected and protected by the local population.</w:t>
      </w:r>
    </w:p>
    <w:bookmarkEnd w:id="29"/>
    <w:bookmarkStart w:id="30" w:name="conclusion"/>
    <w:p>
      <w:pPr>
        <w:pStyle w:val="Heading2"/>
      </w:pPr>
      <w:r>
        <w:t xml:space="preserve">8. Conclusion</w:t>
      </w:r>
    </w:p>
    <w:p>
      <w:pPr>
        <w:pStyle w:val="FirstParagraph"/>
      </w:pPr>
      <w:r>
        <w:t xml:space="preserve">The rehabilitation of the electrical grid in Baghdad serves as a pivotal example of how targeted engineering interventions can drive national recovery. By addressing both the technical deficits and the human elements of electricity consumption, this project has laid a foundation for a more resilient energy future for</w:t>
      </w:r>
      <w:r>
        <w:t xml:space="preserve"> </w:t>
      </w:r>
      <w:hyperlink w:anchor="Xa39a3ee5e6b4b0d3255bfef95601890afd80709">
        <w:r>
          <w:rPr>
            <w:rStyle w:val="Hyperlink"/>
            <w:bCs/>
            <w:b/>
          </w:rPr>
          <w:t xml:space="preserve">Iraq Baghdad</w:t>
        </w:r>
      </w:hyperlink>
      <w:r>
        <w:t xml:space="preserve">. The dedicated work of every</w:t>
      </w:r>
    </w:p>
    <w:p>
      <w:pPr>
        <w:pStyle w:val="BodyText"/>
      </w:pPr>
      <w:hyperlink w:anchor="Xa39a3ee5e6b4b0d3255bfef95601890afd80709">
        <w:r>
          <w:rPr>
            <w:rStyle w:val="Hyperlink"/>
          </w:rPr>
          <w:t xml:space="preserve">Electrical Engineer</w:t>
        </w:r>
      </w:hyperlink>
      <w:r>
        <w:t xml:space="preserve"> </w:t>
      </w:r>
      <w:r>
        <w:t xml:space="preserve">involved highlights that sustainable development in post-conflict zones requires precision, patience, and profound local understanding.</w:t>
      </w:r>
    </w:p>
    <w:p>
      <w:r>
        <w:pict>
          <v:rect style="width:0;height:1.5pt" o:hralign="center" o:hrstd="t" o:hr="t"/>
        </w:pict>
      </w:r>
    </w:p>
    <w:p>
      <w:pPr>
        <w:pStyle w:val="FirstParagraph"/>
      </w:pPr>
      <w:r>
        <w:rPr>
          <w:iCs/>
          <w:i/>
        </w:rPr>
        <w:t xml:space="preserve">Note: This document is a fictionalized case study based on common engineering challenges and solutions observed in urban power grid rehabilitation projects similar to those undertaken in Iraq Baghdad.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the Electrical Infrastructure in Iraq Baghdad</dc:title>
  <dc:creator/>
  <dc:language>en</dc:language>
  <cp:keywords/>
  <dcterms:created xsi:type="dcterms:W3CDTF">2026-07-29T07:25:18Z</dcterms:created>
  <dcterms:modified xsi:type="dcterms:W3CDTF">2026-07-29T07:25:18Z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