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Miami</w:t>
      </w:r>
    </w:p>
    <w:bookmarkStart w:id="20" w:name="case-study"/>
    <w:p>
      <w:pPr>
        <w:pStyle w:val="Heading1"/>
      </w:pPr>
      <w:r>
        <w:rPr>
          <w:bCs/>
          <w:b/>
        </w:rPr>
        <w:t xml:space="preserve">Case Study:</w:t>
      </w:r>
    </w:p>
    <w:p>
      <w:pPr>
        <w:pStyle w:val="FirstParagraph"/>
      </w:pPr>
      <w:r>
        <w:t xml:space="preserve">An in-depth look into the challenges and innovations of an</w:t>
      </w:r>
      <w:r>
        <w:t xml:space="preserve"> </w:t>
      </w:r>
      <w:r>
        <w:rPr>
          <w:iCs/>
          <w:i/>
          <w:bCs/>
          <w:b/>
        </w:rPr>
        <w:t xml:space="preserve">Electrical Engineer</w:t>
      </w:r>
      <w:r>
        <w:t xml:space="preserve"> </w:t>
      </w:r>
      <w:r>
        <w:t xml:space="preserve">operating within the dynamic infrastructure landscape of</w:t>
      </w:r>
      <w:r>
        <w:t xml:space="preserve"> </w:t>
      </w:r>
      <w:r>
        <w:rPr>
          <w:iCs/>
          <w:i/>
          <w:bCs/>
          <w:b/>
        </w:rPr>
        <w:t xml:space="preserve">United States Miami</w:t>
      </w:r>
      <w:r>
        <w:t xml:space="preserve">. This document outlines critical strategies for resilience, sustainability, and technological integration in one of America's most vulnerable yet vibrant coastal cities.</w:t>
      </w:r>
    </w:p>
    <w:bookmarkEnd w:id="20"/>
    <w:bookmarkStart w:id="21" w:name="introduction-to-the-region"/>
    <w:p>
      <w:pPr>
        <w:pStyle w:val="Heading2"/>
      </w:pPr>
      <w:r>
        <w:t xml:space="preserve">Introduction to the Region</w:t>
      </w:r>
    </w:p>
    <w:p>
      <w:pPr>
        <w:pStyle w:val="FirstParagraph"/>
      </w:pPr>
      <w:r>
        <w:t xml:space="preserve">Miami, located in southeastern Florida within the United States, stands as a global hub for finance, commerce, culture, and art. However it also presents unique engineering challenges due to its low elevation susceptibility to sea-level rise frequent hurricane exposure high humidity levels and dense urban infrastructure. The city’s rapid growth has placed immense pressure on existing electrical grids requiring innovative solutions from qualified</w:t>
      </w:r>
      <w:r>
        <w:t xml:space="preserve"> </w:t>
      </w:r>
      <w:r>
        <w:rPr>
          <w:bCs/>
          <w:b/>
        </w:rPr>
        <w:t xml:space="preserve">Electrical Engineers</w:t>
      </w:r>
      <w:r>
        <w:t xml:space="preserve">.</w:t>
      </w:r>
    </w:p>
    <w:bookmarkEnd w:id="21"/>
    <w:bookmarkStart w:id="23" w:name="X3ae481a91e76018727cd103d2fc0fe3d3520737"/>
    <w:p>
      <w:pPr>
        <w:pStyle w:val="Heading2"/>
      </w:pPr>
      <w:r>
        <w:t xml:space="preserve">The Role of the Electrical Engineer in United States Miami</w:t>
      </w:r>
    </w:p>
    <w:p>
      <w:pPr>
        <w:pStyle w:val="FirstParagraph"/>
      </w:pPr>
      <w:r>
        <w:t xml:space="preserve">An electrical engineer working in this region must possess specialized knowledge beyond standard national codes. Their responsibilities extend far beyond basic circuit design or power distribution they are tasked with ensuring continuity during extreme weather events while simultaneously integrating renewable energy sources.</w:t>
      </w:r>
    </w:p>
    <w:bookmarkStart w:id="22" w:name="key-responsibilities"/>
    <w:p>
      <w:pPr>
        <w:pStyle w:val="Heading3"/>
      </w:pPr>
      <w:r>
        <w:t xml:space="preserve">Key Responsibilities</w:t>
      </w:r>
    </w:p>
    <w:p>
      <w:pPr>
        <w:numPr>
          <w:ilvl w:val="0"/>
          <w:numId w:val="1001"/>
        </w:numPr>
        <w:pStyle w:val="Compact"/>
      </w:pPr>
      <w:r>
        <w:rPr>
          <w:bCs/>
          <w:b/>
        </w:rPr>
        <w:t xml:space="preserve">Grid Resilience Design:</w:t>
      </w:r>
      <w:r>
        <w:br/>
      </w:r>
      <w:r>
        <w:t xml:space="preserve">Engineers develop microgrid systems that can operate independently during major storms when the main grid fails this is crucial for hospitals emergency centers and critical infrastructure across United States Miami.</w:t>
      </w:r>
    </w:p>
    <w:p>
      <w:pPr>
        <w:numPr>
          <w:ilvl w:val="0"/>
          <w:numId w:val="1001"/>
        </w:numPr>
        <w:pStyle w:val="Compact"/>
      </w:pPr>
      <w:r>
        <w:rPr>
          <w:bCs/>
          <w:b/>
        </w:rPr>
        <w:t xml:space="preserve">Hurricane-Proof Infrastructure:</w:t>
      </w:r>
      <w:r>
        <w:br/>
      </w:r>
      <w:r>
        <w:t xml:space="preserve">All electrical installations must be designed to withstand Category 5 hurricane forces including high winds storm surges and saltwater corrosion. Engineers specify materials rated for extreme coastal environments.</w:t>
      </w:r>
    </w:p>
    <w:p>
      <w:pPr>
        <w:numPr>
          <w:ilvl w:val="0"/>
          <w:numId w:val="1001"/>
        </w:numPr>
        <w:pStyle w:val="Compact"/>
      </w:pPr>
      <w:r>
        <w:rPr>
          <w:bCs/>
          <w:b/>
        </w:rPr>
        <w:t xml:space="preserve">Sustainability Integration:</w:t>
      </w:r>
      <w:r>
        <w:br/>
      </w:r>
      <w:r>
        <w:t xml:space="preserve">With strong solar irradiation year-round engineers play a pivotal role in integrating photovoltaic systems into residential commercial and industrial buildings contributing to Miami-Dade County’s goal of carbon neutrality by 2050.</w:t>
      </w:r>
    </w:p>
    <w:p>
      <w:pPr>
        <w:numPr>
          <w:ilvl w:val="0"/>
          <w:numId w:val="1001"/>
        </w:numPr>
        <w:pStyle w:val="Compact"/>
      </w:pPr>
      <w:r>
        <w:rPr>
          <w:bCs/>
          <w:b/>
        </w:rPr>
        <w:t xml:space="preserve">Flood Mitigation Systems:</w:t>
      </w:r>
      <w:r>
        <w:br/>
      </w:r>
      <w:r>
        <w:t xml:space="preserve">Electrical equipment such as transformers switchgear and substations must be elevated or waterproofed to prevent damage from flooding—a common occurrence in United States Miami due to king tides and heavy rainfall.</w:t>
      </w:r>
    </w:p>
    <w:bookmarkEnd w:id="22"/>
    <w:bookmarkEnd w:id="23"/>
    <w:bookmarkStart w:id="24" w:name="X12f06a747e6554166c396b19fb1900879c70e22"/>
    <w:p>
      <w:pPr>
        <w:pStyle w:val="Heading2"/>
      </w:pPr>
      <w:r>
        <w:t xml:space="preserve">Case Background: The South Florida Power Initiative</w:t>
      </w:r>
    </w:p>
    <w:p>
      <w:pPr>
        <w:pStyle w:val="FirstParagraph"/>
      </w:pPr>
      <w:r>
        <w:t xml:space="preserve">In 2019 the municipal government of United States Miami launched a comprehensive initiative aimed at modernizing its aging electrical infrastructure. The project known internally as the "South Florida Power Initiative" sought to address three primary concerns:</w:t>
      </w:r>
    </w:p>
    <w:p>
      <w:pPr>
        <w:numPr>
          <w:ilvl w:val="0"/>
          <w:numId w:val="1002"/>
        </w:numPr>
        <w:pStyle w:val="Compact"/>
      </w:pPr>
      <w:r>
        <w:t xml:space="preserve">Increasing frequency of blackouts due to aging equipment.</w:t>
      </w:r>
    </w:p>
    <w:p>
      <w:pPr>
        <w:numPr>
          <w:ilvl w:val="0"/>
          <w:numId w:val="1002"/>
        </w:numPr>
        <w:pStyle w:val="Compact"/>
      </w:pPr>
      <w:r>
        <w:t xml:space="preserve">Rising costs associated with storm damage repairs.</w:t>
      </w:r>
    </w:p>
    <w:p>
      <w:pPr>
        <w:numPr>
          <w:ilvl w:val="0"/>
          <w:numId w:val="1002"/>
        </w:numPr>
        <w:pStyle w:val="Compact"/>
      </w:pPr>
      <w:r>
        <w:t xml:space="preserve">Federal mandates requiring increased adoption of clean energy sources.</w:t>
      </w:r>
    </w:p>
    <w:p>
      <w:pPr>
        <w:pStyle w:val="FirstParagraph"/>
      </w:pPr>
      <w:r>
        <w:t xml:space="preserve">The lead consultant firm hired for this project was tasked with deploying a team of certified electrical engineers who understood both the technical aspects of power systems and the environmental realities facing United States Miami today.</w:t>
      </w:r>
    </w:p>
    <w:bookmarkEnd w:id="24"/>
    <w:bookmarkStart w:id="28" w:name="implementation-strategy"/>
    <w:p>
      <w:pPr>
        <w:pStyle w:val="Heading2"/>
      </w:pPr>
      <w:r>
        <w:t xml:space="preserve">Implementation Strategy</w:t>
      </w:r>
    </w:p>
    <w:bookmarkStart w:id="25" w:name="phase-1-assessment-vulnerability-mapping"/>
    <w:p>
      <w:pPr>
        <w:pStyle w:val="Heading3"/>
      </w:pPr>
      <w:r>
        <w:t xml:space="preserve">Phase 1: Assessment &amp; Vulnerability Mapping</w:t>
      </w:r>
    </w:p>
    <w:p>
      <w:pPr>
        <w:pStyle w:val="FirstParagraph"/>
      </w:pPr>
      <w:r>
        <w:t xml:space="preserve">The first step involved a thorough audit of all existing electrical assets. Using Geographic Information Systems GIS data was overlaid with flood zone maps historical storm paths and population density charts. This allowed the engineering team to identify high-risk zones where upgrades were most urgently needed.</w:t>
      </w:r>
    </w:p>
    <w:bookmarkEnd w:id="25"/>
    <w:bookmarkStart w:id="26" w:name="phase-2-microgrid-deployment"/>
    <w:p>
      <w:pPr>
        <w:pStyle w:val="Heading3"/>
      </w:pPr>
      <w:r>
        <w:t xml:space="preserve">Phase 2: Microgrid Deployment</w:t>
      </w:r>
    </w:p>
    <w:p>
      <w:pPr>
        <w:pStyle w:val="FirstParagraph"/>
      </w:pPr>
      <w:r>
        <w:t xml:space="preserve">A key innovation introduced was the implementation of localized microgrids centered around critical facilities such as hospitals schools and emergency response centers. These microgrids utilize battery storage systems solar panels and diesel generators in hybrid configurations ensuring uninterrupted power supply even if the main grid goes down.</w:t>
      </w:r>
    </w:p>
    <w:bookmarkEnd w:id="26"/>
    <w:bookmarkStart w:id="27" w:name="phase-3-underground-utility-conversion"/>
    <w:p>
      <w:pPr>
        <w:pStyle w:val="Heading3"/>
      </w:pPr>
      <w:r>
        <w:t xml:space="preserve">Phase 3: Underground Utility Conversion</w:t>
      </w:r>
    </w:p>
    <w:p>
      <w:pPr>
        <w:pStyle w:val="FirstParagraph"/>
      </w:pPr>
      <w:r>
        <w:t xml:space="preserve">To reduce vulnerability above-ground lines were gradually replaced with underground cables where feasible. While more expensive upfront this approach significantly reduces outage times caused by tree fall wind debris and lightning strikes common in United States Miami during hurricane season.</w:t>
      </w:r>
    </w:p>
    <w:bookmarkEnd w:id="27"/>
    <w:bookmarkEnd w:id="28"/>
    <w:bookmarkStart w:id="32" w:name="challenges-faced"/>
    <w:p>
      <w:pPr>
        <w:pStyle w:val="Heading2"/>
      </w:pPr>
      <w:r>
        <w:t xml:space="preserve">Challenges Faced</w:t>
      </w:r>
    </w:p>
    <w:bookmarkStart w:id="29" w:name="flooding-risks"/>
    <w:p>
      <w:pPr>
        <w:pStyle w:val="Heading3"/>
      </w:pPr>
      <w:r>
        <w:t xml:space="preserve">Flooding Risks</w:t>
      </w:r>
    </w:p>
    <w:p>
      <w:pPr>
        <w:pStyle w:val="FirstParagraph"/>
      </w:pPr>
      <w:r>
        <w:t xml:space="preserve">One of the biggest hurdles was designing substations that could survive periodic inundation. Engineers had to elevate critical components several feet above base flood elevation levels specified by FEMA which often required extensive civil work coordination and additional permitting processes.</w:t>
      </w:r>
    </w:p>
    <w:bookmarkEnd w:id="29"/>
    <w:bookmarkStart w:id="30" w:name="saltwater-corrosion"/>
    <w:p>
      <w:pPr>
        <w:pStyle w:val="Heading3"/>
      </w:pPr>
      <w:r>
        <w:t xml:space="preserve">Saltwater Corrosion</w:t>
      </w:r>
    </w:p>
    <w:p>
      <w:pPr>
        <w:pStyle w:val="FirstParagraph"/>
      </w:pPr>
      <w:r>
        <w:t xml:space="preserve">The proximity to the Atlantic Ocean means salt spray constantly attacks metal components. Specialized coatings stainless steel fixtures and corrosion-resistant alloys were mandated for all outdoor installations increasing material costs but extending lifespan dramatically.</w:t>
      </w:r>
    </w:p>
    <w:bookmarkEnd w:id="30"/>
    <w:bookmarkStart w:id="31" w:name="coding-compliance-complexity"/>
    <w:p>
      <w:pPr>
        <w:pStyle w:val="Heading3"/>
      </w:pPr>
      <w:r>
        <w:t xml:space="preserve">Coding Compliance Complexity</w:t>
      </w:r>
    </w:p>
    <w:p>
      <w:pPr>
        <w:pStyle w:val="FirstParagraph"/>
      </w:pPr>
      <w:r>
        <w:t xml:space="preserve">Navigating local building codes alongside state regulations federal standards and international best practices proved complex. Engineers spent considerable time liaising with authorities having jurisdiction AHJ to ensure compliance without compromising safety or efficiency.</w:t>
      </w:r>
    </w:p>
    <w:bookmarkEnd w:id="31"/>
    <w:bookmarkEnd w:id="32"/>
    <w:bookmarkStart w:id="33" w:name="outcomes-impact"/>
    <w:p>
      <w:pPr>
        <w:pStyle w:val="Heading2"/>
      </w:pPr>
      <w:r>
        <w:t xml:space="preserve">Outcomes &amp; Impact</w:t>
      </w:r>
    </w:p>
    <w:p>
      <w:pPr>
        <w:numPr>
          <w:ilvl w:val="0"/>
          <w:numId w:val="1003"/>
        </w:numPr>
        <w:pStyle w:val="Compact"/>
      </w:pPr>
      <w:r>
        <w:rPr>
          <w:bCs/>
          <w:b/>
        </w:rPr>
        <w:t xml:space="preserve">Reduced Outage Duration:</w:t>
      </w:r>
      <w:r>
        <w:br/>
      </w:r>
      <w:r>
        <w:t xml:space="preserve">Average restoration time after Hurricane Irma-like events dropped by 60% compared to pre-project levels.</w:t>
      </w:r>
    </w:p>
    <w:p>
      <w:pPr>
        <w:numPr>
          <w:ilvl w:val="0"/>
          <w:numId w:val="1003"/>
        </w:numPr>
        <w:pStyle w:val="Compact"/>
      </w:pPr>
      <w:r>
        <w:rPr>
          <w:bCs/>
          <w:b/>
        </w:rPr>
        <w:t xml:space="preserve">Increased Renewable Energy Adoption:</w:t>
      </w:r>
      <w:r>
        <w:br/>
      </w:r>
      <w:r>
        <w:t xml:space="preserve">Over 40% of new commercial constructions in United States Miami now incorporate rooftop solar arrays thanks to streamlined permitting and financial incentives promoted by the initiative.</w:t>
      </w:r>
    </w:p>
    <w:p>
      <w:pPr>
        <w:numPr>
          <w:ilvl w:val="0"/>
          <w:numId w:val="1003"/>
        </w:numPr>
        <w:pStyle w:val="Compact"/>
      </w:pPr>
      <w:r>
        <w:rPr>
          <w:bCs/>
          <w:b/>
        </w:rPr>
        <w:t xml:space="preserve">Enhanced Community Resilience:</w:t>
      </w:r>
      <w:r>
        <w:br/>
      </w:r>
      <w:r>
        <w:t xml:space="preserve">Residents reported higher confidence in utility reliability especially during hurricane season leading to improved economic stability tourism growth and investor interest.</w:t>
      </w:r>
    </w:p>
    <w:p>
      <w:pPr>
        <w:pStyle w:val="FirstParagraph"/>
      </w:pPr>
      <w:r>
        <w:t xml:space="preserve">The success of this project has positioned United States Miami as a model city for climate-adaptive infrastructure planning worldwide demonstrating how forward-thinking engineering can mitigate risks posed by changing climatic conditions.</w:t>
      </w:r>
    </w:p>
    <w:bookmarkEnd w:id="33"/>
    <w:bookmarkStart w:id="34" w:name="lessons-learned"/>
    <w:p>
      <w:pPr>
        <w:pStyle w:val="Heading2"/>
      </w:pPr>
      <w:r>
        <w:t xml:space="preserve">Lessons Learned</w:t>
      </w:r>
    </w:p>
    <w:p>
      <w:pPr>
        <w:pStyle w:val="FirstParagraph"/>
      </w:pPr>
      <w:r>
        <w:t xml:space="preserve">This case study underscores several key takeaways for other municipalities facing similar challenges:</w:t>
      </w:r>
    </w:p>
    <w:p>
      <w:pPr>
        <w:numPr>
          <w:ilvl w:val="0"/>
          <w:numId w:val="1004"/>
        </w:numPr>
        <w:pStyle w:val="Compact"/>
      </w:pPr>
      <w:r>
        <w:rPr>
          <w:bCs/>
          <w:b/>
        </w:rPr>
        <w:t xml:space="preserve">Proactive Planning Saves Money:</w:t>
      </w:r>
      <w:r>
        <w:br/>
      </w:r>
      <w:r>
        <w:t xml:space="preserve">Investing in resilient infrastructure before disasters occur is far cheaper than emergency repairs afterward.</w:t>
      </w:r>
    </w:p>
    <w:p>
      <w:pPr>
        <w:numPr>
          <w:ilvl w:val="0"/>
          <w:numId w:val="1004"/>
        </w:numPr>
        <w:pStyle w:val="Compact"/>
      </w:pPr>
      <w:r>
        <w:rPr>
          <w:bCs/>
          <w:b/>
        </w:rPr>
        <w:t xml:space="preserve">Local Knowledge Matters:</w:t>
      </w:r>
      <w:r>
        <w:br/>
      </w:r>
      <w:r>
        <w:t xml:space="preserve">Understanding regional specificities like humidity salt exposure and flood patterns is essential for effective design decisions made by electrical engineers.</w:t>
      </w:r>
    </w:p>
    <w:p>
      <w:pPr>
        <w:numPr>
          <w:ilvl w:val="0"/>
          <w:numId w:val="1004"/>
        </w:numPr>
        <w:pStyle w:val="Compact"/>
      </w:pPr>
      <w:r>
        <w:rPr>
          <w:bCs/>
          <w:b/>
        </w:rPr>
        <w:t xml:space="preserve">Community Engagement Is Crucial:</w:t>
      </w:r>
      <w:r>
        <w:br/>
      </w:r>
      <w:r>
        <w:t xml:space="preserve">Engaging stakeholders early helps build trust ensures smoother implementation fosters public support and accelerates adoption of new technologies.</w:t>
      </w:r>
    </w:p>
    <w:bookmarkEnd w:id="34"/>
    <w:bookmarkStart w:id="35" w:name="conclusion"/>
    <w:p>
      <w:pPr>
        <w:pStyle w:val="Heading2"/>
      </w:pPr>
      <w:r>
        <w:t xml:space="preserve">Conclusion</w:t>
      </w:r>
    </w:p>
    <w:p>
      <w:pPr>
        <w:pStyle w:val="FirstParagraph"/>
      </w:pPr>
      <w:r>
        <w:t xml:space="preserve">The evolution of electrical infrastructure in United States Miami serves as a powerful testament to the importance of specialized engineering expertise tailored to local environmental conditions. As climate change continues to intensify extreme weather events cities around the globe can learn valuable lessons from this initiative.</w:t>
      </w:r>
    </w:p>
    <w:p>
      <w:pPr>
        <w:pStyle w:val="BodyText"/>
      </w:pPr>
      <w:r>
        <w:t xml:space="preserve">Electrical engineers play not just technical roles but also societal ones—they safeguard lives protect economies and pave way toward sustainable futures. By embracing innovation collaboration and resilience-focused design principles United States Miami exemplifies how modern engineering can transform vulnerability into strength paving road for safer smarter cities everywhere.</w:t>
      </w:r>
    </w:p>
    <w:bookmarkEnd w:id="35"/>
    <w:p>
      <w:pPr>
        <w:pStyle w:val="BodyText"/>
      </w:pPr>
      <w:r>
        <w:t xml:space="preserve">© 2023 Engineering Insights Group. All rights reserved.</w:t>
      </w:r>
      <w:r>
        <w:br/>
      </w:r>
      <w:r>
        <w:t xml:space="preserve">Prepared for professional review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Miami</dc:title>
  <dc:creator/>
  <dc:language>en</dc:language>
  <cp:keywords/>
  <dcterms:created xsi:type="dcterms:W3CDTF">2026-07-29T10:22:16Z</dcterms:created>
  <dcterms:modified xsi:type="dcterms:W3CDTF">2026-07-29T10:22:16Z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