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Excellence</w:t>
      </w:r>
      <w:r>
        <w:t xml:space="preserve"> </w:t>
      </w:r>
      <w:r>
        <w:t xml:space="preserve">in</w:t>
      </w:r>
      <w:r>
        <w:t xml:space="preserve"> </w:t>
      </w:r>
      <w:r>
        <w:t xml:space="preserve">New</w:t>
      </w:r>
      <w:r>
        <w:t xml:space="preserve"> </w:t>
      </w:r>
      <w:r>
        <w:t xml:space="preserve">Zealand</w:t>
      </w:r>
      <w:r>
        <w:t xml:space="preserve"> </w:t>
      </w:r>
      <w:r>
        <w:t xml:space="preserve">Auckland</w:t>
      </w:r>
    </w:p>
    <w:bookmarkStart w:id="22" w:name="X24d11ece0f99c5525efe4d605987515c253e066"/>
    <w:p>
      <w:pPr>
        <w:pStyle w:val="Heading1"/>
      </w:pPr>
      <w:r>
        <w:t xml:space="preserve">Bridging the Gap Between Heritage and Modernity:</w:t>
      </w:r>
      <w:r>
        <w:br/>
      </w:r>
      <w:r>
        <w:t xml:space="preserve">A Comprehensive Case Study of Electrical Services in New Zealand Auckland</w:t>
      </w:r>
    </w:p>
    <w:p>
      <w:pPr>
        <w:pStyle w:val="FirstParagraph"/>
      </w:pPr>
      <w:r>
        <w:t xml:space="preserve">In the dynamic urban landscape of New Zealand Auckland, the demand for reliable, safe, and compliant electrical infrastructure is more critical than ever. As one of the country’s most densely populated and rapidly growing regions, Auckland serves as a microcosm for broader national trends in energy consumption, building regulations compliance (EECR), and sustainable development. This case study explores a pivotal project undertaken by "Sparkline Solutions," a premier electrician firm specializing in retrofitting heritage homes while integrating modern smart-grid capabilities. The primary objective was to upgrade an aging 1950s bungalow in the Ponsonby suburb to meet contemporary New Zealand Electrical Consumer Safety (EECR) standards without compromising its architectural charm.</w:t>
      </w:r>
    </w:p>
    <w:bookmarkStart w:id="20" w:name="background-and-context"/>
    <w:p>
      <w:pPr>
        <w:pStyle w:val="Heading2"/>
      </w:pPr>
      <w:r>
        <w:t xml:space="preserve">Background and Context</w:t>
      </w:r>
    </w:p>
    <w:p>
      <w:pPr>
        <w:pStyle w:val="FirstParagraph"/>
      </w:pPr>
      <w:r>
        <w:t xml:space="preserve">New Zealand Auckland has experienced unprecedented population growth over the last decade, leading to a surge in both residential renovations and new constructions. However, this growth highlights significant challenges regarding the city's aging electrical infrastructure. Many older homes were wired with knob-and-tube or early aluminum wiring systems that no longer meet current safety codes. Furthermore, Auckland Council’s strict planning rules require minimal disturbance to heritage facades while mandating full compliance with modern energy efficiency goals.</w:t>
      </w:r>
    </w:p>
    <w:p>
      <w:pPr>
        <w:pStyle w:val="BodyText"/>
      </w:pPr>
      <w:r>
        <w:t xml:space="preserve">The client, a family residing in a historic bungalow near Ponsonby Road, faced several critical issues: frequent circuit breaker trips due to overloaded circuits; lack of grounding protection posing shock hazards; insufficient power for modern appliances like electric vehicle (EV) chargers and heat pump systems; and outdated fuse boxes that required constant manual resetting. Their goal was clear: achieve full EECR compliance, improve energy efficiency, and prepare the home for future technological integration.</w:t>
      </w:r>
    </w:p>
    <w:bookmarkEnd w:id="20"/>
    <w:bookmarkStart w:id="21" w:name="project-scope"/>
    <w:p>
      <w:pPr>
        <w:pStyle w:val="Heading2"/>
      </w:pPr>
      <w:r>
        <w:t xml:space="preserve">Project Scope</w:t>
      </w:r>
    </w:p>
    <w:p>
      <w:pPr>
        <w:pStyle w:val="FirstParagraph"/>
      </w:pPr>
      <w:r>
        <w:t xml:space="preserve">Complete removal of hazardous knob-and-tube wiring.</w:t>
      </w:r>
    </w:p>
    <w:p>
      <w:pPr>
        <w:pStyle w:val="BodyText"/>
      </w:pPr>
      <w:r>
        <w:t xml:space="preserve">Installation of a new double-ended consumer unit compliant with AS/NZS 3008 standards.</w:t>
      </w:r>
    </w:p>
    <w:p>
      <w:pPr>
        <w:pStyle w:val="BodyText"/>
      </w:pPr>
      <w:r>
        <w:t xml:space="preserve">Rewiring key areas including kitchen, living rooms, and outdoor spaces.</w:t>
      </w:r>
    </w:p>
    <w:p>
      <w:pPr>
        <w:numPr>
          <w:ilvl w:val="0"/>
          <w:numId w:val="1002"/>
        </w:numPr>
        <w:pStyle w:val="Compact"/>
      </w:pPr>
      <w:r>
        <w:t xml:space="preserve">Upgrading main earth bonding systems to ensure proper fault current paths.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Excellence in New Zealand Auckland</dc:title>
  <dc:creator/>
  <dc:language>en</dc:language>
  <cp:keywords/>
  <dcterms:created xsi:type="dcterms:W3CDTF">2026-07-30T01:31:06Z</dcterms:created>
  <dcterms:modified xsi:type="dcterms:W3CDTF">2026-07-30T01:31:06Z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