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Strategic</w:t>
      </w:r>
      <w:r>
        <w:t xml:space="preserve"> </w:t>
      </w:r>
      <w:r>
        <w:t xml:space="preserve">Financial</w:t>
      </w:r>
      <w:r>
        <w:t xml:space="preserve"> </w:t>
      </w:r>
      <w:r>
        <w:t xml:space="preserve">Analysis</w:t>
      </w:r>
      <w:r>
        <w:t xml:space="preserve"> </w:t>
      </w:r>
      <w:r>
        <w:t xml:space="preserve">in</w:t>
      </w:r>
      <w:r>
        <w:t xml:space="preserve"> </w:t>
      </w:r>
      <w:r>
        <w:t xml:space="preserve">Brisbane,</w:t>
      </w:r>
      <w:r>
        <w:t xml:space="preserve"> </w:t>
      </w:r>
      <w:r>
        <w:t xml:space="preserve">Australia</w:t>
      </w:r>
    </w:p>
    <w:bookmarkStart w:id="32" w:name="X0f8bca7744efa32acdac5e317815c576ae8802d"/>
    <w:p>
      <w:pPr>
        <w:pStyle w:val="Heading1"/>
      </w:pPr>
      <w:r>
        <w:t xml:space="preserve">Case Study: Optimizing Capital Allocation for a Mid-Cap Real Estate Development Firm in Brisbane, Australia</w:t>
      </w:r>
    </w:p>
    <w:p>
      <w:pPr>
        <w:pStyle w:val="FirstParagraph"/>
      </w:pPr>
      <w:r>
        <w:rPr>
          <w:bCs/>
          <w:b/>
        </w:rPr>
        <w:t xml:space="preserve">Date:</w:t>
      </w:r>
      <w:r>
        <w:t xml:space="preserve"> </w:t>
      </w:r>
      <w:r>
        <w:t xml:space="preserve">October 15, 2023</w:t>
      </w:r>
      <w:r>
        <w:br/>
      </w:r>
      <w:r>
        <w:rPr>
          <w:bCs/>
          <w:b/>
        </w:rPr>
        <w:t xml:space="preserve">Covered Market:</w:t>
      </w:r>
      <w:r>
        <w:t xml:space="preserve"> </w:t>
      </w:r>
      <w:r>
        <w:t xml:space="preserve">Australia (Brisbane)</w:t>
      </w:r>
      <w:r>
        <w:br/>
      </w:r>
      <w:r>
        <w:rPr>
          <w:bCs/>
          <w:b/>
        </w:rPr>
        <w:t xml:space="preserve">Role Focus:</w:t>
      </w:r>
    </w:p>
    <w:bookmarkStart w:id="20" w:name="executive-summary"/>
    <w:p>
      <w:pPr>
        <w:pStyle w:val="Heading2"/>
      </w:pPr>
      <w:r>
        <w:t xml:space="preserve">Executive Summary</w:t>
      </w:r>
    </w:p>
    <w:p>
      <w:pPr>
        <w:pStyle w:val="FirstParagraph"/>
      </w:pPr>
      <w:r>
        <w:t xml:space="preserve">This Case Study examines the pivotal role of the Financial Analyst within a rapidly expanding real estate development firm based in Brisbane, Australia. As the Queensland capital experiences unprecedented population growth and infrastructure investment, local firms face complex challenges regarding liquidity management, regulatory compliance with Australian accounting standards (AASB), and strategic capital allocation. This document details how a dedicated Financial Analyst navigated these hurdles to enhance profitability by 18% over two years.</w:t>
      </w:r>
    </w:p>
    <w:bookmarkEnd w:id="20"/>
    <w:bookmarkStart w:id="21" w:name="company-background-and-context"/>
    <w:p>
      <w:pPr>
        <w:pStyle w:val="Heading2"/>
      </w:pPr>
      <w:r>
        <w:t xml:space="preserve">1. Company Background and Context</w:t>
      </w:r>
    </w:p>
    <w:p>
      <w:pPr>
        <w:pStyle w:val="FirstParagraph"/>
      </w:pPr>
      <w:r>
        <w:rPr>
          <w:bCs/>
          <w:b/>
        </w:rPr>
        <w:t xml:space="preserve">Brisbane Urban Developments Pty Ltd</w:t>
      </w:r>
      <w:r>
        <w:t xml:space="preserve">, referred to herein as "BUD," is a mid-sized property developer headquartered in the Brisbane CBD. With a portfolio ranging from high-density apartment complexes in South Brisbane to mixed-use projects in Fortitude Valley, BUD operates within one of Australia’s most dynamic housing markets. The company had an annual revenue of AUD $45 million and employed 120 staff members.</w:t>
      </w:r>
    </w:p>
    <w:p>
      <w:pPr>
        <w:pStyle w:val="BodyText"/>
      </w:pPr>
      <w:r>
        <w:t xml:space="preserve">The primary challenge facing BUD was the disconnect between operational execution and financial forecasting. While project managers were delivering buildings on time, the finance department struggled with real-time cost tracking across multiple sites. This lack of integration led to cash flow bottlenecks during construction phases, forcing reliance on high-interest bridge loans from major Australian banks.</w:t>
      </w:r>
    </w:p>
    <w:bookmarkEnd w:id="21"/>
    <w:bookmarkStart w:id="23" w:name="the-role-of-the-financial-analyst"/>
    <w:p>
      <w:pPr>
        <w:pStyle w:val="Heading2"/>
      </w:pPr>
      <w:r>
        <w:t xml:space="preserve">2. The Role of the Financial Analyst</w:t>
      </w:r>
    </w:p>
    <w:p>
      <w:pPr>
        <w:pStyle w:val="FirstParagraph"/>
      </w:pPr>
      <w:r>
        <w:t xml:space="preserve">The core objective of this Case Study is to analyze the interventions made by the newly hired Senior Financial Analyst. In the context of Brisbane’s competitive business landscape, this role transcended traditional bookkeeping. The Financial Analyst was tasked with bridging technical accounting practices with strategic business decision-making.</w:t>
      </w:r>
    </w:p>
    <w:bookmarkStart w:id="22" w:name="Xabda36704df12f5245c5fcfc719e2b886fbc83d"/>
    <w:p>
      <w:pPr>
        <w:pStyle w:val="Heading3"/>
      </w:pPr>
      <w:r>
        <w:t xml:space="preserve">2.1 Key Responsibilities in the Local Context</w:t>
      </w:r>
    </w:p>
    <w:p>
      <w:pPr>
        <w:numPr>
          <w:ilvl w:val="0"/>
          <w:numId w:val="1001"/>
        </w:numPr>
        <w:pStyle w:val="Compact"/>
      </w:pPr>
      <w:r>
        <w:rPr>
          <w:bCs/>
          <w:b/>
        </w:rPr>
        <w:t xml:space="preserve">AASB Compliance:</w:t>
      </w:r>
    </w:p>
    <w:p>
      <w:pPr>
        <w:numPr>
          <w:ilvl w:val="0"/>
          <w:numId w:val="1001"/>
        </w:numPr>
        <w:pStyle w:val="Compact"/>
      </w:pPr>
      <w:r>
        <w:rPr>
          <w:bCs/>
          <w:b/>
        </w:rPr>
        <w:t xml:space="preserve">Local Market Analysis:</w:t>
      </w:r>
    </w:p>
    <w:p>
      <w:pPr>
        <w:numPr>
          <w:ilvl w:val="0"/>
          <w:numId w:val="1001"/>
        </w:numPr>
        <w:pStyle w:val="Compact"/>
      </w:pPr>
      <w:r>
        <w:rPr>
          <w:bCs/>
          <w:b/>
        </w:rPr>
        <w:t xml:space="preserve">Risk Management:</w:t>
      </w:r>
    </w:p>
    <w:bookmarkEnd w:id="22"/>
    <w:bookmarkEnd w:id="23"/>
    <w:bookmarkStart w:id="24" w:name="problem-statement-the-cash-flow-paradox"/>
    <w:p>
      <w:pPr>
        <w:pStyle w:val="Heading2"/>
      </w:pPr>
      <w:r>
        <w:t xml:space="preserve">3. Problem Statement: The Cash Flow Paradox</w:t>
      </w:r>
    </w:p>
    <w:p>
      <w:pPr>
        <w:pStyle w:val="FirstParagraph"/>
      </w:pPr>
      <w:r>
        <w:t xml:space="preserve">BUD faced a critical issue known as the "Cash Flow Paradox." Despite having high contract values on paper, the company frequently ran out of liquid cash during peak construction months. This was due to:</w:t>
      </w:r>
    </w:p>
    <w:p>
      <w:pPr>
        <w:numPr>
          <w:ilvl w:val="0"/>
          <w:numId w:val="1002"/>
        </w:numPr>
        <w:pStyle w:val="Compact"/>
      </w:pPr>
      <w:r>
        <w:rPr>
          <w:bCs/>
          <w:b/>
        </w:rPr>
        <w:t xml:space="preserve">Detailed Cost Overruns:</w:t>
      </w:r>
      <w:r>
        <w:t xml:space="preserve">Inaccurate initial budgeting for labor and material costs specific to the Brisbane supply chain constraints post-2021.</w:t>
      </w:r>
    </w:p>
    <w:p>
      <w:pPr>
        <w:numPr>
          <w:ilvl w:val="0"/>
          <w:numId w:val="1002"/>
        </w:numPr>
        <w:pStyle w:val="Compact"/>
      </w:pPr>
      <w:r>
        <w:rPr>
          <w:bCs/>
          <w:b/>
        </w:rPr>
        <w:t xml:space="preserve">Lack of Scenario Planning:</w:t>
      </w:r>
      <w:r>
        <w:t xml:space="preserve">The existing financial models were static, failing to account for interest rate hikes by the Reserve Bank of Australia (RBA).</w:t>
      </w:r>
    </w:p>
    <w:p>
      <w:pPr>
        <w:numPr>
          <w:ilvl w:val="0"/>
          <w:numId w:val="1002"/>
        </w:numPr>
        <w:pStyle w:val="Compact"/>
      </w:pPr>
      <w:r>
        <w:rPr>
          <w:bCs/>
          <w:b/>
        </w:rPr>
        <w:t xml:space="preserve">Siloed Data:</w:t>
      </w:r>
      <w:r>
        <w:t xml:space="preserve">The financial analyst lacked access to real-time project management software data, leading to a lag in identifying variances.</w:t>
      </w:r>
    </w:p>
    <w:bookmarkEnd w:id="24"/>
    <w:bookmarkStart w:id="27" w:name="methodology-and-interventions"/>
    <w:p>
      <w:pPr>
        <w:pStyle w:val="Heading2"/>
      </w:pPr>
      <w:r>
        <w:t xml:space="preserve">4. Methodology and Interventions</w:t>
      </w:r>
    </w:p>
    <w:p>
      <w:pPr>
        <w:pStyle w:val="FirstParagraph"/>
      </w:pPr>
      <w:r>
        <w:t xml:space="preserve">To address these challenges, the Financial Analyst implemented a three-phase strategic framework tailored to the Australian market.</w:t>
      </w:r>
    </w:p>
    <w:bookmarkStart w:id="25" w:name="X2699028b4e290dc26ab0ac4f0a73e83d5f63204"/>
    <w:p>
      <w:pPr>
        <w:pStyle w:val="Heading3"/>
      </w:pPr>
      <w:r>
        <w:rPr>
          <w:bCs/>
          <w:b/>
        </w:rPr>
        <w:t xml:space="preserve">The financial analyst introduced dynamic forecasting models.</w:t>
      </w:r>
    </w:p>
    <w:p>
      <w:pPr>
        <w:pStyle w:val="FirstParagraph"/>
      </w:pPr>
      <w:r>
        <w:t xml:space="preserve">.</w:t>
      </w:r>
    </w:p>
    <w:p>
      <w:pPr>
        <w:pStyle w:val="BodyText"/>
      </w:pPr>
      <w:r>
        <w:t xml:space="preserve">.html&gt;</w:t>
      </w:r>
    </w:p>
    <w:p>
      <w:pPr>
        <w:pStyle w:val="BodyText"/>
      </w:pPr>
      <w:r>
        <w:t xml:space="preserve">Challenge</w:t>
      </w:r>
    </w:p>
    <w:p>
      <w:pPr>
        <w:pStyle w:val="BodyText"/>
      </w:pPr>
      <w:r>
        <w:br/>
      </w:r>
      <w:r>
        <w:t xml:space="preserve">Brisbane Market Factor</w:t>
      </w:r>
      <w:r>
        <w:br/>
      </w:r>
      <w:r>
        <w:t xml:space="preserve">Financial Analyst Intervention</w:t>
      </w:r>
      <w:r>
        <w:br/>
      </w:r>
    </w:p>
    <w:p>
      <w:pPr>
        <w:pStyle w:val="BodyText"/>
      </w:pPr>
      <w:r>
        <w:rPr>
          <w:bCs/>
          <w:b/>
        </w:rPr>
        <w:t xml:space="preserve">Budget Variance Analysis</w:t>
      </w:r>
    </w:p>
    <w:p>
      <w:pPr>
        <w:pStyle w:val="BodyText"/>
      </w:pPr>
      <w:r>
        <w:t xml:space="preserve">Implemented weekly variance analysis reports comparing actual spend vs. budgeted spend, highlighting deviations in labor costs which were 15% higher than expected due to local union agreements.</w:t>
      </w:r>
    </w:p>
    <w:p>
      <w:pPr>
        <w:pStyle w:val="BodyText"/>
      </w:pPr>
      <w:r>
        <w:t xml:space="preserve">Tech Integration</w:t>
      </w:r>
    </w:p>
    <w:p>
      <w:pPr>
        <w:pStyle w:val="BodyText"/>
      </w:pPr>
      <w:r>
        <w:t xml:space="preserve">ERP Implementation:</w:t>
      </w:r>
    </w:p>
    <w:p>
      <w:pPr>
        <w:pStyle w:val="BodyText"/>
      </w:pPr>
      <w:r>
        <w:t xml:space="preserve">The Financial Analyst led the integration of Xero and a construction-specific project management tool (Procore). This allowed for real-time synchronization of invoices and progress claims. By automating data entry, the analyst reduced reporting time by 40%.</w:t>
      </w:r>
    </w:p>
    <w:p>
      <w:pPr>
        <w:pStyle w:val="BodyText"/>
      </w:pPr>
      <w:r>
        <w:t xml:space="preserve">RBA Rate Sensitivity</w:t>
      </w:r>
    </w:p>
    <w:p>
      <w:pPr>
        <w:pStyle w:val="BodyText"/>
      </w:pPr>
      <w:r>
        <w:t xml:space="preserve">Stress Testing</w:t>
      </w:r>
    </w:p>
    <w:p>
      <w:pPr>
        <w:pStyle w:val="BodyText"/>
      </w:pPr>
      <w:r>
        <w:t xml:space="preserve">Conducted stress tests on the company’s debt servicing capabilities under a 250 basis point increase in interest rates. This prepared BUD for the aggressive RBA tightening cycle of 2022-2023.</w:t>
      </w:r>
    </w:p>
    <w:p>
      <w:pPr>
        <w:pStyle w:val="BodyText"/>
      </w:pPr>
      <w:r>
        <w:t xml:space="preserve">.</w:t>
      </w:r>
    </w:p>
    <w:bookmarkEnd w:id="25"/>
    <w:bookmarkStart w:id="26" w:name="strategic-advisory"/>
    <w:p>
      <w:pPr>
        <w:pStyle w:val="Heading3"/>
      </w:pPr>
      <w:r>
        <w:t xml:space="preserve">4.3 Strategic Advisory</w:t>
      </w:r>
    </w:p>
    <w:p>
      <w:pPr>
        <w:pStyle w:val="FirstParagraph"/>
      </w:pPr>
      <w:r>
        <w:t xml:space="preserve">Beyond number-crunching, the Financial Analyst acted as a strategic partner to the CEO. When considering a new acquisition in Ipswich (a rapidly growing suburb west of Brisbane CBD), the analyst conducted a comprehensive Due Diligence review. This included assessing environmental liabilities and local council zoning changes that could affect project viability. The analyst advised against an immediate acquisition, suggesting instead a joint venture structure to mitigate risk.</w:t>
      </w:r>
    </w:p>
    <w:bookmarkEnd w:id="26"/>
    <w:bookmarkEnd w:id="27"/>
    <w:bookmarkStart w:id="28" w:name="results-and-impact"/>
    <w:p>
      <w:pPr>
        <w:pStyle w:val="Heading2"/>
      </w:pPr>
      <w:r>
        <w:t xml:space="preserve">5. Results and Impact</w:t>
      </w:r>
    </w:p>
    <w:p>
      <w:pPr>
        <w:pStyle w:val="FirstParagraph"/>
      </w:pPr>
      <w:r>
        <w:t xml:space="preserve">The interventions led by the Financial Analyst yielded significant tangible results over a 24-month period:</w:t>
      </w:r>
    </w:p>
    <w:p>
      <w:pPr>
        <w:pStyle w:val="BodyText"/>
      </w:pPr>
      <w:r>
        <w:t xml:space="preserve">.html&gt;</w:t>
      </w:r>
    </w:p>
    <w:p>
      <w:pPr>
        <w:numPr>
          <w:ilvl w:val="0"/>
          <w:numId w:val="1003"/>
        </w:numPr>
        <w:pStyle w:val="Compact"/>
      </w:pPr>
      <w:r>
        <w:rPr>
          <w:bCs/>
          <w:b/>
        </w:rPr>
        <w:t xml:space="preserve">Cash Flow Optimization:</w:t>
      </w:r>
      <w:r>
        <w:t xml:space="preserve">Cash flow volatility decreased by 35%. The company reduced its reliance on short-term bridge financing, saving approximately AUD $180,000 annually in interest expenses.</w:t>
      </w:r>
    </w:p>
    <w:p>
      <w:pPr>
        <w:numPr>
          <w:ilvl w:val="0"/>
          <w:numId w:val="1003"/>
        </w:numPr>
        <w:pStyle w:val="Compact"/>
      </w:pPr>
      <w:r>
        <w:rPr>
          <w:bCs/>
          <w:b/>
        </w:rPr>
        <w:t xml:space="preserve">Profit Margin Improvement:</w:t>
      </w:r>
      <w:r>
        <w:t xml:space="preserve">Gross margins improved from 12% to 14.5%, driven by better cost control and early identification of budget overruns.</w:t>
      </w:r>
    </w:p>
    <w:p>
      <w:pPr>
        <w:numPr>
          <w:ilvl w:val="0"/>
          <w:numId w:val="1003"/>
        </w:numPr>
        <w:pStyle w:val="Compact"/>
      </w:pPr>
      <w:r>
        <w:rPr>
          <w:bCs/>
          <w:b/>
        </w:rPr>
        <w:t xml:space="preserve">Enhanced Decision Making:</w:t>
      </w:r>
      <w:r>
        <w:t xml:space="preserve">The CEO gained confidence in investment decisions due to robust scenario planning. The rejection of the risky Ipswich acquisition prevented a potential AUD $2 million loss, which was later confirmed by market downturns in that specific micro-market.</w:t>
      </w:r>
    </w:p>
    <w:p>
      <w:pPr>
        <w:numPr>
          <w:ilvl w:val="0"/>
          <w:numId w:val="1003"/>
        </w:numPr>
        <w:pStyle w:val="Compact"/>
      </w:pPr>
      <w:r>
        <w:rPr>
          <w:bCs/>
          <w:b/>
        </w:rPr>
        <w:t xml:space="preserve">Regulatory Peace of Mind:</w:t>
      </w:r>
      <w:r>
        <w:t xml:space="preserve">Audits by Australian tax authorities (ATO) were passed without penalty, thanks to improved compliance with GST and payroll tax regulations relevant to Queensland.</w:t>
      </w:r>
    </w:p>
    <w:p>
      <w:pPr>
        <w:pStyle w:val="FirstParagraph"/>
      </w:pPr>
      <w:r>
        <w:t xml:space="preserve">.</w:t>
      </w:r>
    </w:p>
    <w:bookmarkEnd w:id="28"/>
    <w:bookmarkStart w:id="29" w:name="challenges-specific-to-brisbane"/>
    <w:p>
      <w:pPr>
        <w:pStyle w:val="Heading2"/>
      </w:pPr>
      <w:r>
        <w:t xml:space="preserve">6. Challenges Specific to Brisbane</w:t>
      </w:r>
    </w:p>
    <w:p>
      <w:pPr>
        <w:pStyle w:val="FirstParagraph"/>
      </w:pPr>
      <w:r>
        <w:t xml:space="preserve">The Case Study highlights that the role of a Financial Analyst in Brisbane is not generic. It requires specific local knowledge:</w:t>
      </w:r>
    </w:p>
    <w:p>
      <w:pPr>
        <w:numPr>
          <w:ilvl w:val="0"/>
          <w:numId w:val="1004"/>
        </w:numPr>
        <w:pStyle w:val="Compact"/>
      </w:pPr>
      <w:r>
        <w:rPr>
          <w:bCs/>
          <w:b/>
        </w:rPr>
        <w:t xml:space="preserve">Labor Market Dynamics:</w:t>
      </w:r>
      <w:r>
        <w:t xml:space="preserve">Brisbane has historically had tighter labor markets compared to Sydney. The analyst had to adjust cost models to reflect higher wage inflation in the construction sector.</w:t>
      </w:r>
    </w:p>
    <w:p>
      <w:pPr>
        <w:numPr>
          <w:ilvl w:val="0"/>
          <w:numId w:val="1004"/>
        </w:numPr>
        <w:pStyle w:val="Compact"/>
      </w:pPr>
      <w:r>
        <w:rPr>
          <w:bCs/>
          <w:b/>
        </w:rPr>
        <w:t xml:space="preserve">Flood and Climate Risk:</w:t>
      </w:r>
      <w:r>
        <w:t xml:space="preserve">In light of recent flooding events in Southeast Queensland, the Financial Analyst factored increased insurance premiums and flood mitigation costs into long-term project financials, ensuring these were not overlooked as "externalities."</w:t>
      </w:r>
    </w:p>
    <w:p>
      <w:pPr>
        <w:numPr>
          <w:ilvl w:val="0"/>
          <w:numId w:val="1004"/>
        </w:numPr>
        <w:pStyle w:val="Compact"/>
      </w:pPr>
      <w:r>
        <w:rPr>
          <w:bCs/>
          <w:b/>
        </w:rPr>
        <w:t xml:space="preserve">Tourism vs. Residential Mix:</w:t>
      </w:r>
      <w:r>
        <w:t xml:space="preserve">Brisbane’s tourism recovery post-pandemic created a unique opportunity for short-stay accommodation developments. The analyst helped pivot some residential stock toward hotel-style units to capture higher yields.</w:t>
      </w:r>
    </w:p>
    <w:p>
      <w:pPr>
        <w:pStyle w:val="FirstParagraph"/>
      </w:pPr>
      <w:r>
        <w:t xml:space="preserve">.</w:t>
      </w:r>
    </w:p>
    <w:bookmarkEnd w:id="29"/>
    <w:bookmarkStart w:id="30" w:name="conclusion"/>
    <w:p>
      <w:pPr>
        <w:pStyle w:val="Heading2"/>
      </w:pPr>
      <w:r>
        <w:t xml:space="preserve">7. Conclusion</w:t>
      </w:r>
    </w:p>
    <w:p>
      <w:pPr>
        <w:pStyle w:val="FirstParagraph"/>
      </w:pPr>
      <w:r>
        <w:t xml:space="preserve">This Case Study demonstrates that the Financial Analyst is not merely a recorder of historical data but a strategic architect of financial health. In the vibrant and competitive market of Australia, Brisbane specifically, this role demands a blend of technical accounting proficiency (AASB/IFRS), local market intelligence (RBA policy, local council regulations), and strategic foresight.</w:t>
      </w:r>
    </w:p>
    <w:p>
      <w:pPr>
        <w:pStyle w:val="BodyText"/>
      </w:pPr>
      <w:r>
        <w:t xml:space="preserve">For organizations operating in Brisbane, investing in a skilled Financial Analyst who understands the nuances of the Queensland property market can lead to significant competitive advantages. The ability to navigate cash flow constraints, manage regulatory compliance, and provide actionable insights directly contributes to sustainable growth and resilience against economic volatility.</w:t>
      </w:r>
    </w:p>
    <w:bookmarkEnd w:id="30"/>
    <w:bookmarkStart w:id="31" w:name="recommendations-for-future-practitioners"/>
    <w:p>
      <w:pPr>
        <w:pStyle w:val="Heading2"/>
      </w:pPr>
      <w:r>
        <w:t xml:space="preserve">8. Recommendations for Future Practitioners</w:t>
      </w:r>
    </w:p>
    <w:p>
      <w:pPr>
        <w:pStyle w:val="FirstParagraph"/>
      </w:pPr>
      <w:r>
        <w:t xml:space="preserve">For Financial Analysts aspiring to work in Brisbane or similar Australian markets:</w:t>
      </w:r>
    </w:p>
    <w:p>
      <w:pPr>
        <w:pStyle w:val="BodyText"/>
      </w:pPr>
      <w:r>
        <w:t xml:space="preserve">.html&gt;</w:t>
      </w:r>
    </w:p>
    <w:p>
      <w:pPr>
        <w:numPr>
          <w:ilvl w:val="0"/>
          <w:numId w:val="1005"/>
        </w:numPr>
        <w:pStyle w:val="Compact"/>
      </w:pPr>
      <w:r>
        <w:rPr>
          <w:bCs/>
          <w:b/>
        </w:rPr>
        <w:t xml:space="preserve">Mastery of Local Tools:</w:t>
      </w:r>
      <w:r>
        <w:t xml:space="preserve">Familiarize yourself with Xero, MYOB, and local project management software.</w:t>
      </w:r>
    </w:p>
    <w:p>
      <w:pPr>
        <w:numPr>
          <w:ilvl w:val="0"/>
          <w:numId w:val="1005"/>
        </w:numPr>
        <w:pStyle w:val="Compact"/>
      </w:pPr>
      <w:r>
        <w:rPr>
          <w:bCs/>
          <w:b/>
        </w:rPr>
        <w:t xml:space="preserve">Understand the Macro Environment:</w:t>
      </w:r>
      <w:r>
        <w:t xml:space="preserve">Keep a close eye on RBA announcements and Queensland government infrastructure spend.</w:t>
      </w:r>
    </w:p>
    <w:p>
      <w:pPr>
        <w:numPr>
          <w:ilvl w:val="0"/>
          <w:numId w:val="1005"/>
        </w:numPr>
        <w:pStyle w:val="Compact"/>
      </w:pPr>
      <w:r>
        <w:rPr>
          <w:bCs/>
          <w:b/>
        </w:rPr>
        <w:t xml:space="preserve">Cross-Functional Collaboration:</w:t>
      </w:r>
      <w:r>
        <w:t xml:space="preserve">Dont work in isolation. Engage with project managers to understand the physical realities of construction, which drive financial outcomes.</w:t>
      </w:r>
    </w:p>
    <w:p>
      <w:pPr>
        <w:pStyle w:val="FirstParagraph"/>
      </w:pPr>
      <w:r>
        <w:t xml:space="preserv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Strategic Financial Analysis in Brisbane, Australia</dc:title>
  <dc:creator/>
  <dc:language>en</dc:language>
  <cp:keywords/>
  <dcterms:created xsi:type="dcterms:W3CDTF">2026-07-29T13:15:40Z</dcterms:created>
  <dcterms:modified xsi:type="dcterms:W3CDTF">2026-07-29T13:15:40Z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