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Financial</w:t>
      </w:r>
      <w:r>
        <w:t xml:space="preserve"> </w:t>
      </w:r>
      <w:r>
        <w:t xml:space="preserve">Analysis</w:t>
      </w:r>
      <w:r>
        <w:t xml:space="preserve"> </w:t>
      </w:r>
      <w:r>
        <w:t xml:space="preserve">in</w:t>
      </w:r>
      <w:r>
        <w:t xml:space="preserve"> </w:t>
      </w:r>
      <w:r>
        <w:t xml:space="preserve">Australia</w:t>
      </w:r>
      <w:r>
        <w:t xml:space="preserve"> </w:t>
      </w:r>
      <w:r>
        <w:t xml:space="preserve">Sydney</w:t>
      </w:r>
    </w:p>
    <w:bookmarkStart w:id="32" w:name="Xcda87b170260c18c3d2297b3abcee7364c65804"/>
    <w:p>
      <w:pPr>
        <w:pStyle w:val="Heading1"/>
      </w:pPr>
      <w:r>
        <w:t xml:space="preserve">Case Study: Navigating the Complex Financial Landscape of a Mid-Sized Enterprise in Australia Sydney</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w:t>
      </w:r>
      <w:r>
        <w:br/>
      </w:r>
      <w:r>
        <w:rPr>
          <w:bCs/>
          <w:b/>
        </w:rPr>
        <w:t xml:space="preserve">Clearedance Level:</w:t>
      </w:r>
    </w:p>
    <w:p>
      <w:r>
        <w:pict>
          <v:rect style="width:0;height:1.5pt" o:hralign="center" o:hrstd="t" o:hr="t"/>
        </w:pict>
      </w:r>
    </w:p>
    <w:bookmarkStart w:id="20" w:name="executive-summary"/>
    <w:p>
      <w:pPr>
        <w:pStyle w:val="Heading2"/>
      </w:pPr>
      <w:r>
        <w:t xml:space="preserve">1. Executive Summary</w:t>
      </w:r>
    </w:p>
    <w:p>
      <w:pPr>
        <w:pStyle w:val="FirstParagraph"/>
      </w:pPr>
      <w:r>
        <w:t xml:space="preserve">This case study examines the critical role and impact of a senior Financial Analyst within a dynamic mid-sized technology consulting firm located in Australia Sydney. The organization, hereinafter referred to as "TechFlow Solutions," faced significant challenges related to post-pandemic recovery, currency fluctuation impacts on international contracts, and the need for robust strategic planning amid rising interest rates. By integrating advanced financial modeling with localized regulatory compliance specific to the Australian market, the Financial Analyst played a pivotal role in steering the company toward sustainable profitability. This document details the methodologies employed, challenges faced, and outcomes achieved.</w:t>
      </w:r>
    </w:p>
    <w:bookmarkEnd w:id="20"/>
    <w:bookmarkStart w:id="21" w:name="company-background-and-context"/>
    <w:p>
      <w:pPr>
        <w:pStyle w:val="Heading2"/>
      </w:pPr>
      <w:r>
        <w:t xml:space="preserve">2. Company Background and Context</w:t>
      </w:r>
    </w:p>
    <w:p>
      <w:pPr>
        <w:pStyle w:val="FirstParagraph"/>
      </w:pPr>
      <w:r>
        <w:t xml:space="preserve">TechFlow Solutions is a prominent player in Australia Sydney’s growing tech sector, specializing in cloud infrastructure management for small to medium enterprises (SMEs). Founded five years ago, the company experienced exponential growth during the early pandemic years as digital transformation accelerated. However, by Q3 2022, growth stagnated due to several internal and external pressures:</w:t>
      </w:r>
    </w:p>
    <w:p>
      <w:pPr>
        <w:numPr>
          <w:ilvl w:val="0"/>
          <w:numId w:val="1001"/>
        </w:numPr>
        <w:pStyle w:val="Compact"/>
      </w:pPr>
      <w:r>
        <w:rPr>
          <w:bCs/>
          <w:b/>
        </w:rPr>
        <w:t xml:space="preserve">Operational Inefficiency:</w:t>
      </w:r>
      <w:r>
        <w:t xml:space="preserve"> </w:t>
      </w:r>
      <w:r>
        <w:t xml:space="preserve">Lack of granular cost tracking per project.</w:t>
      </w:r>
    </w:p>
    <w:p>
      <w:pPr>
        <w:numPr>
          <w:ilvl w:val="0"/>
          <w:numId w:val="1001"/>
        </w:numPr>
        <w:pStyle w:val="Compact"/>
      </w:pPr>
      <w:r>
        <w:rPr>
          <w:bCs/>
          <w:b/>
        </w:rPr>
        <w:t xml:space="preserve">Currency Volatility:</w:t>
      </w:r>
      <w:r>
        <w:t xml:space="preserve">A significant portion of revenue came from US-based clients, exposing the firm to AUD/USD exchange rate risks.</w:t>
      </w:r>
    </w:p>
    <w:p>
      <w:pPr>
        <w:numPr>
          <w:ilvl w:val="0"/>
          <w:numId w:val="1001"/>
        </w:numPr>
        <w:pStyle w:val="Compact"/>
      </w:pPr>
      <w:r>
        <w:rPr>
          <w:bCs/>
          <w:b/>
        </w:rPr>
        <w:t xml:space="preserve">Tax Complexity:</w:t>
      </w:r>
      <w:r>
        <w:t xml:space="preserve">Navigating the Goods and Services Tax (GST) regulations in Australia Sydney required precise accounting practices that were previously ad-hoc.</w:t>
      </w:r>
    </w:p>
    <w:p>
      <w:pPr>
        <w:pStyle w:val="FirstParagraph"/>
      </w:pPr>
      <w:r>
        <w:t xml:space="preserve">The Board of Directors recognized the urgent need for a dedicated Financial Analyst who could not only report numbers but also provide strategic insights tailored to the unique economic environment of Australia Sydney.</w:t>
      </w:r>
    </w:p>
    <w:bookmarkEnd w:id="21"/>
    <w:bookmarkStart w:id="23" w:name="Xaf46d211e862fa9674df6bf8338c66d68f1ef3c"/>
    <w:p>
      <w:pPr>
        <w:pStyle w:val="Heading2"/>
      </w:pPr>
      <w:r>
        <w:t xml:space="preserve">3. The Challenge: Defining the Role of the Financial Analyst</w:t>
      </w:r>
    </w:p>
    <w:p>
      <w:pPr>
        <w:pStyle w:val="FirstParagraph"/>
      </w:pPr>
      <w:r>
        <w:t xml:space="preserve">The primary objective was to appoint a high-caliber Financial Analyst capable of transforming raw financial data into actionable business intelligence. The role required more than traditional bookkeeping; it demanded expertise in forecasting, budgeting, and variance analysis within the specific context of Australia Sydney’s competitive market.</w:t>
      </w:r>
    </w:p>
    <w:bookmarkStart w:id="22" w:name="key-responsibilities-identified"/>
    <w:p>
      <w:pPr>
        <w:pStyle w:val="Heading3"/>
      </w:pPr>
      <w:r>
        <w:t xml:space="preserve">Key Responsibilities Identified:</w:t>
      </w:r>
    </w:p>
    <w:p>
      <w:pPr>
        <w:numPr>
          <w:ilvl w:val="0"/>
          <w:numId w:val="1002"/>
        </w:numPr>
        <w:pStyle w:val="Compact"/>
      </w:pPr>
      <w:r>
        <w:rPr>
          <w:bCs/>
          <w:b/>
        </w:rPr>
        <w:t xml:space="preserve">Auditing Financial Health:</w:t>
      </w:r>
    </w:p>
    <w:p>
      <w:pPr>
        <w:numPr>
          <w:ilvl w:val="0"/>
          <w:numId w:val="1002"/>
        </w:numPr>
        <w:pStyle w:val="Compact"/>
      </w:pPr>
      <w:r>
        <w:rPr>
          <w:bCs/>
          <w:b/>
        </w:rPr>
        <w:t xml:space="preserve">Cash Flow Optimization:</w:t>
      </w:r>
    </w:p>
    <w:p>
      <w:pPr>
        <w:numPr>
          <w:ilvl w:val="0"/>
          <w:numId w:val="1002"/>
        </w:numPr>
        <w:pStyle w:val="Compact"/>
      </w:pPr>
      <w:r>
        <w:rPr>
          <w:bCs/>
          <w:b/>
        </w:rPr>
        <w:t xml:space="preserve">Hedging Strategy Development:</w:t>
      </w:r>
    </w:p>
    <w:p>
      <w:pPr>
        <w:numPr>
          <w:ilvl w:val="0"/>
          <w:numId w:val="1002"/>
        </w:numPr>
        <w:pStyle w:val="Compact"/>
      </w:pPr>
      <w:r>
        <w:t xml:space="preserve">Regulatory Compliance:</w:t>
      </w:r>
    </w:p>
    <w:bookmarkEnd w:id="22"/>
    <w:bookmarkEnd w:id="23"/>
    <w:bookmarkStart w:id="27" w:name="methodology-and-strategic-approach"/>
    <w:p>
      <w:pPr>
        <w:pStyle w:val="Heading2"/>
      </w:pPr>
      <w:r>
        <w:t xml:space="preserve">4. Methodology and Strategic Approach</w:t>
      </w:r>
    </w:p>
    <w:p>
      <w:pPr>
        <w:pStyle w:val="FirstParagraph"/>
      </w:pPr>
      <w:r>
        <w:rPr>
          <w:bCs/>
          <w:b/>
        </w:rPr>
        <w:t xml:space="preserve">Critical Insight:</w:t>
      </w:r>
      <w:r>
        <w:t xml:space="preserve">The success of this engagement hinged on the Financial Analyst’s ability to blend quantitative rigor with qualitative understanding of the local economic landscape in Australia Sydney.</w:t>
      </w:r>
    </w:p>
    <w:bookmarkStart w:id="24" w:name="a.-data-integration-and-visualization"/>
    <w:p>
      <w:pPr>
        <w:pStyle w:val="Heading3"/>
      </w:pPr>
      <w:r>
        <w:t xml:space="preserve">A. Data Integration and Visualization</w:t>
      </w:r>
    </w:p>
    <w:p>
      <w:pPr>
        <w:pStyle w:val="FirstParagraph"/>
      </w:pPr>
      <w:r>
        <w:t xml:space="preserve">The Financial Analyst first implemented a new Enterprise Resource Planning (ERP) system that integrated sales, procurement, and payroll data. By creating dynamic dashboards using Power BI, the analyst provided real-time visibility into key performance indicators (KPIs). This transparency allowed department heads in Australia Sydney to see how their spending impacted the bottom line immediately.</w:t>
      </w:r>
    </w:p>
    <w:bookmarkEnd w:id="24"/>
    <w:bookmarkStart w:id="25" w:name="b.-advanced-forecasting-models"/>
    <w:p>
      <w:pPr>
        <w:pStyle w:val="Heading3"/>
      </w:pPr>
      <w:r>
        <w:t xml:space="preserve">B. Advanced Forecasting Models</w:t>
      </w:r>
    </w:p>
    <w:p>
      <w:pPr>
        <w:pStyle w:val="FirstParagraph"/>
      </w:pPr>
      <w:r>
        <w:t xml:space="preserve">Leveraging historical data from previous years, the Financial Analyst built Monte Carlo simulation models to forecast revenue under various scenarios. These models accounted for variables specific to Australia Sydney’s market, such as seasonal fluctuations in tourism-related tech demand and local infrastructure spending cycles.</w:t>
      </w:r>
    </w:p>
    <w:bookmarkEnd w:id="25"/>
    <w:bookmarkStart w:id="26" w:name="X56fbd90ccb8910655862320c9513fa4c58d02b1"/>
    <w:p>
      <w:pPr>
        <w:pStyle w:val="Heading3"/>
      </w:pPr>
      <w:r>
        <w:t xml:space="preserve">C. Cost-Benefit Analysis of Operational Relocation</w:t>
      </w:r>
    </w:p>
    <w:p>
      <w:pPr>
        <w:pStyle w:val="FirstParagraph"/>
      </w:pPr>
      <w:r>
        <w:t xml:space="preserve">A significant portion of the analysis involved evaluating whether to maintain central operations in Australia Sydney or decentralize to reduce overheads. The Financial Analyst conducted a detailed total cost of ownership (TCO) analysis, factoring in:</w:t>
      </w:r>
    </w:p>
    <w:p>
      <w:pPr>
        <w:numPr>
          <w:ilvl w:val="0"/>
          <w:numId w:val="1003"/>
        </w:numPr>
        <w:pStyle w:val="Compact"/>
      </w:pPr>
      <w:r>
        <w:t xml:space="preserve">Premium commercial lease rates in Australia Sydney CBD.</w:t>
      </w:r>
    </w:p>
    <w:p>
      <w:pPr>
        <w:numPr>
          <w:ilvl w:val="0"/>
          <w:numId w:val="1003"/>
        </w:numPr>
        <w:pStyle w:val="Compact"/>
      </w:pPr>
      <w:r>
        <w:t xml:space="preserve">Talent acquisition costs and salary benchmarks specific to the financial and tech sectors in Australia.</w:t>
      </w:r>
    </w:p>
    <w:p>
      <w:pPr>
        <w:numPr>
          <w:ilvl w:val="0"/>
          <w:numId w:val="1003"/>
        </w:numPr>
        <w:pStyle w:val="Compact"/>
      </w:pPr>
      <w:r>
        <w:t xml:space="preserve">Potential tax incentives available for businesses operating outside major metropolitan hubs in New South Wales.</w:t>
      </w:r>
    </w:p>
    <w:bookmarkEnd w:id="26"/>
    <w:bookmarkEnd w:id="27"/>
    <w:bookmarkStart w:id="28" w:name="implementation-of-financial-strategies"/>
    <w:p>
      <w:pPr>
        <w:pStyle w:val="Heading2"/>
      </w:pPr>
      <w:r>
        <w:t xml:space="preserve">5. Implementation of Financial Strategies</w:t>
      </w:r>
    </w:p>
    <w:p>
      <w:pPr>
        <w:pStyle w:val="FirstParagraph"/>
      </w:pPr>
      <w:r>
        <w:rPr>
          <w:bCs/>
          <w:b/>
        </w:rPr>
        <w:t xml:space="preserve">Hedging Against Currency Risk:</w:t>
      </w:r>
      <w:r>
        <w:t xml:space="preserve">The Financial Analyst recommended a forward contract strategy to lock in exchange rates for 60% of expected USD revenue over the next two quarters. This decision protected margins when the AUD strengthened unexpectedly, a common occurrence affecting businesses across Australia Sydney.</w:t>
      </w:r>
    </w:p>
    <w:p>
      <w:pPr>
        <w:pStyle w:val="BodyText"/>
      </w:pPr>
      <w:r>
        <w:rPr>
          <w:bCs/>
          <w:b/>
        </w:rPr>
        <w:t xml:space="preserve">Operational Cost Cutting:</w:t>
      </w:r>
    </w:p>
    <w:p>
      <w:pPr>
        <w:pStyle w:val="BodyText"/>
      </w:pPr>
      <w:r>
        <w:rPr>
          <w:bCs/>
          <w:b/>
        </w:rPr>
        <w:t xml:space="preserve">GST Compliance Audit:</w:t>
      </w:r>
      <w:r>
        <w:t xml:space="preserve">A deep dive into GST filings revealed errors in claiming input tax credits on certain international services. The Financial Analyst rectified these issues with the Australian Taxation Office (ATO), ensuring full compliance and avoiding potential penalties for operations centered in Australia Sydney.</w:t>
      </w:r>
    </w:p>
    <w:bookmarkEnd w:id="28"/>
    <w:bookmarkStart w:id="29" w:name="outcomes-and-impact"/>
    <w:p>
      <w:pPr>
        <w:pStyle w:val="Heading2"/>
      </w:pPr>
      <w:r>
        <w:t xml:space="preserve">6. Outcomes and Impact</w:t>
      </w:r>
    </w:p>
    <w:p>
      <w:pPr>
        <w:pStyle w:val="FirstParagraph"/>
      </w:pPr>
      <w:r>
        <w:t xml:space="preserve">The interventions led by the Financial Analyst resulted in measurable improvements across all key metrics:</w:t>
      </w:r>
    </w:p>
    <w:p>
      <w:pPr>
        <w:numPr>
          <w:ilvl w:val="0"/>
          <w:numId w:val="1004"/>
        </w:numPr>
        <w:pStyle w:val="Compact"/>
      </w:pPr>
      <w:r>
        <w:rPr>
          <w:bCs/>
          <w:b/>
        </w:rPr>
        <w:t xml:space="preserve">Gross Margin Improvement:</w:t>
      </w:r>
    </w:p>
    <w:p>
      <w:pPr>
        <w:numPr>
          <w:ilvl w:val="0"/>
          <w:numId w:val="1004"/>
        </w:numPr>
        <w:pStyle w:val="Compact"/>
      </w:pPr>
      <w:r>
        <w:rPr>
          <w:bCs/>
          <w:b/>
        </w:rPr>
        <w:t xml:space="preserve">Cash Flow Stability:</w:t>
      </w:r>
    </w:p>
    <w:p>
      <w:pPr>
        <w:numPr>
          <w:ilvl w:val="0"/>
          <w:numId w:val="1004"/>
        </w:numPr>
        <w:pStyle w:val="Compact"/>
      </w:pPr>
      <w:r>
        <w:rPr>
          <w:bCs/>
          <w:b/>
        </w:rPr>
        <w:t xml:space="preserve">Strategic Decision Support:</w:t>
      </w:r>
    </w:p>
    <w:p>
      <w:pPr>
        <w:numPr>
          <w:ilvl w:val="0"/>
          <w:numId w:val="1004"/>
        </w:numPr>
        <w:pStyle w:val="Compact"/>
      </w:pPr>
      <w:r>
        <w:rPr>
          <w:bCs/>
          <w:b/>
        </w:rPr>
        <w:t xml:space="preserve">Risk Mitigation:</w:t>
      </w:r>
    </w:p>
    <w:bookmarkEnd w:id="29"/>
    <w:bookmarkStart w:id="30" w:name="lessons-learned"/>
    <w:p>
      <w:pPr>
        <w:pStyle w:val="Heading2"/>
      </w:pPr>
      <w:r>
        <w:t xml:space="preserve">7. Lessons Learned</w:t>
      </w:r>
    </w:p>
    <w:p>
      <w:pPr>
        <w:pStyle w:val="FirstParagraph"/>
      </w:pPr>
      <w:r>
        <w:t xml:space="preserve">This case study highlights several critical lessons regarding the importance of specialized financial analysis:</w:t>
      </w:r>
    </w:p>
    <w:p>
      <w:pPr>
        <w:numPr>
          <w:ilvl w:val="0"/>
          <w:numId w:val="1005"/>
        </w:numPr>
        <w:pStyle w:val="Compact"/>
      </w:pPr>
      <w:r>
        <w:rPr>
          <w:bCs/>
          <w:b/>
        </w:rPr>
        <w:t xml:space="preserve">Localization is Key:</w:t>
      </w:r>
    </w:p>
    <w:p>
      <w:pPr>
        <w:numPr>
          <w:ilvl w:val="0"/>
          <w:numId w:val="1005"/>
        </w:numPr>
        <w:pStyle w:val="Compact"/>
      </w:pPr>
      <w:r>
        <w:rPr>
          <w:bCs/>
          <w:b/>
        </w:rPr>
        <w:t xml:space="preserve">Data-Driven Culture:</w:t>
      </w:r>
    </w:p>
    <w:p>
      <w:pPr>
        <w:numPr>
          <w:ilvl w:val="0"/>
          <w:numId w:val="1005"/>
        </w:numPr>
        <w:pStyle w:val="Compact"/>
      </w:pPr>
      <w:r>
        <w:t xml:space="preserve">Proactive Risk Management:The role of the Financial Analyst extended beyond reporting past performance; it involved anticipating future risks (such as currency fluctuations) and implementing protective measures.</w:t>
      </w:r>
    </w:p>
    <w:bookmarkEnd w:id="30"/>
    <w:bookmarkStart w:id="31" w:name="conclusion"/>
    <w:p>
      <w:pPr>
        <w:pStyle w:val="Heading2"/>
      </w:pPr>
      <w:r>
        <w:t xml:space="preserve">8. Conclusion</w:t>
      </w:r>
    </w:p>
    <w:p>
      <w:pPr>
        <w:pStyle w:val="FirstParagraph"/>
      </w:pPr>
      <w:r>
        <w:t xml:space="preserve">In conclusion, the appointment of a skilled Financial Analyst was transformative for TechFlow Solutions. In the complex and competitive environment of Australia Sydney, financial oversight cannot be an afterthought; it must be integrated into the core strategic fabric of the organization. The case demonstrates that when a Financial Analyst leverages local market knowledge alongside advanced analytical techniques, they become indispensable partners in driving growth, ensuring compliance, and mitigating risk. For other organizations seeking similar stability and growth in Australia Sydney or comparable markets, investing in high-quality financial analysis is not merely an administrative cost but a strategic imperative.</w:t>
      </w:r>
    </w:p>
    <w:p>
      <w:pPr>
        <w:pStyle w:val="BodyText"/>
      </w:pPr>
      <w:r>
        <w:t xml:space="preserve">The synergy between accurate data interpretation and contextual understanding of the Australian economic landscape remains the cornerstone of sustainable business success. As markets continue to evolve, the role of the Financial Analyst will only grow in importance, particularly for enterprises operating in dynamic hubs like Australia Sydney.</w:t>
      </w:r>
    </w:p>
    <w:p>
      <w:pPr>
        <w:pStyle w:val="BodyText"/>
      </w:pPr>
      <w:r>
        <w:t xml:space="preserve">© 2023 Business Intelligence Insights. All rights reserved.</w:t>
      </w:r>
      <w:r>
        <w:br/>
      </w:r>
      <w:r>
        <w:t xml:space="preserve">This Case Study is intended for educational and professional reference purposes regarding Financial Analyst roles in Australia Sydney.</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Financial Analysis in Australia Sydney</dc:title>
  <dc:creator/>
  <dc:language>en</dc:language>
  <cp:keywords/>
  <dcterms:created xsi:type="dcterms:W3CDTF">2026-07-29T06:44:06Z</dcterms:created>
  <dcterms:modified xsi:type="dcterms:W3CDTF">2026-07-29T06:44:06Z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