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802ee411175140ccfa5c8c31d76eb68f421b42"/>
    <w:p>
      <w:pPr>
        <w:pStyle w:val="Heading1"/>
      </w:pPr>
      <w:r>
        <w:t xml:space="preserve">Navigating the Fiscal Landscape: A Case Study on the Role of a Financial Analyst in Bangladesh Dhaka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Gulshan-2, Dhaka, Bangladesh</w:t>
      </w:r>
      <w:r>
        <w:br/>
      </w:r>
      <w:r>
        <w:rPr>
          <w:bCs/>
          <w:b/>
        </w:rPr>
        <w:t xml:space="preserve">Subject:</w:t>
      </w:r>
      <w:r>
        <w:t xml:space="preserve">The Evolution and Strategic Importance of the Financial Analyst Role in a Rapidly Emerging Economy.</w:t>
      </w:r>
    </w:p>
    <w:bookmarkStart w:id="20" w:name="i.-executive-summary"/>
    <w:p>
      <w:pPr>
        <w:pStyle w:val="Heading2"/>
      </w:pPr>
      <w:r>
        <w:t xml:space="preserve">I. Executive Summary</w:t>
      </w:r>
    </w:p>
    <w:p>
      <w:pPr>
        <w:pStyle w:val="FirstParagraph"/>
      </w:pPr>
      <w:r>
        <w:t xml:space="preserve">In the bustling metropolis of</w:t>
      </w:r>
      <w:r>
        <w:t xml:space="preserve"> </w:t>
      </w:r>
      <w:r>
        <w:t xml:space="preserve">Bangladesh Dhaka</w:t>
      </w:r>
      <w:r>
        <w:t xml:space="preserve">, the economic narrative is one of resilience, rapid urbanization, and digital transformation. As multinational corporations (MNCs) expand their footprint in South Asia and local conglomerates look to global markets for capital, the need for sophisticated financial expertise has never been more critical. This case study examines the multifaceted role of a</w:t>
      </w:r>
      <w:r>
        <w:t xml:space="preserve"> </w:t>
      </w:r>
      <w:r>
        <w:t xml:space="preserve">Financial Analyst</w:t>
      </w:r>
      <w:r>
        <w:t xml:space="preserve"> </w:t>
      </w:r>
      <w:r>
        <w:t xml:space="preserve">operating within this dynamic environment. It explores how professionals in this field navigate the unique regulatory frameworks, cultural nuances, and volatile market conditions specific to</w:t>
      </w:r>
      <w:r>
        <w:t xml:space="preserve"> </w:t>
      </w:r>
      <w:r>
        <w:t xml:space="preserve">Bangladesh Dhaka</w:t>
      </w:r>
      <w:r>
        <w:t xml:space="preserve">, transforming raw data into strategic insights that drive corporate sustainability.</w:t>
      </w:r>
    </w:p>
    <w:bookmarkEnd w:id="20"/>
    <w:bookmarkStart w:id="21" w:name="X6386593be8b8647b755338716b813c4aa07bd30"/>
    <w:p>
      <w:pPr>
        <w:pStyle w:val="Heading2"/>
      </w:pPr>
      <w:r>
        <w:t xml:space="preserve">II. Context: The Economic Fabric of Bangladesh Dhaka</w:t>
      </w:r>
    </w:p>
    <w:p>
      <w:pPr>
        <w:pStyle w:val="FirstParagraph"/>
      </w:pPr>
      <w:r>
        <w:t xml:space="preserve">Bangladesh Dhaka</w:t>
      </w:r>
      <w:r>
        <w:t xml:space="preserve"> </w:t>
      </w:r>
      <w:r>
        <w:t xml:space="preserve">is not merely the capital city; it is the economic heartbeat of a nation projected to be one of the fastest-growing economies in Asia. The city serves as the hub for banking, insurance, garment manufacturing (RMG), pharmaceuticals, and increasingly, information technology. However this growth comes with complexity. The</w:t>
      </w:r>
      <w:r>
        <w:t xml:space="preserve"> </w:t>
      </w:r>
      <w:r>
        <w:t xml:space="preserve">Financial Analyst</w:t>
      </w:r>
      <w:r>
        <w:t xml:space="preserve"> </w:t>
      </w:r>
      <w:r>
        <w:t xml:space="preserve">working in this region must contend with:</w:t>
      </w:r>
    </w:p>
    <w:p>
      <w:pPr>
        <w:numPr>
          <w:ilvl w:val="0"/>
          <w:numId w:val="1001"/>
        </w:numPr>
        <w:pStyle w:val="Compact"/>
      </w:pPr>
      <w:r>
        <w:rPr>
          <w:bCs/>
          <w:b/>
        </w:rPr>
        <w:t xml:space="preserve">Regulatory Volatility:</w:t>
      </w:r>
    </w:p>
    <w:p>
      <w:pPr>
        <w:numPr>
          <w:ilvl w:val="0"/>
          <w:numId w:val="1001"/>
        </w:numPr>
        <w:pStyle w:val="Compact"/>
      </w:pPr>
      <w:r>
        <w:rPr>
          <w:bCs/>
          <w:b/>
        </w:rPr>
        <w:t xml:space="preserve">Currency Fluctuations:</w:t>
      </w:r>
      <w:r>
        <w:t xml:space="preserve">The volatility of the Bangladeshi Taka (BDT) against major currencies like the USD and EUR requires constant hedging strategies.</w:t>
      </w:r>
    </w:p>
    <w:p>
      <w:pPr>
        <w:numPr>
          <w:ilvl w:val="0"/>
          <w:numId w:val="1001"/>
        </w:numPr>
        <w:pStyle w:val="Compact"/>
      </w:pPr>
      <w:r>
        <w:rPr>
          <w:bCs/>
          <w:b/>
        </w:rPr>
        <w:t xml:space="preserve">Digital Transition:</w:t>
      </w:r>
      <w:r>
        <w:t xml:space="preserve">The rapid adoption of digital banking and fintech solutions in</w:t>
      </w:r>
      <w:r>
        <w:t xml:space="preserve"> </w:t>
      </w:r>
      <w:r>
        <w:t xml:space="preserve">Bangladesh Dhaka</w:t>
      </w:r>
      <w:r>
        <w:t xml:space="preserve"> </w:t>
      </w:r>
      <w:r>
        <w:t xml:space="preserve">has shifted financial data from traditional ledgers to cloud-based analytics platforms.</w:t>
      </w:r>
    </w:p>
    <w:bookmarkEnd w:id="21"/>
    <w:bookmarkStart w:id="25" w:name="X85d19aa99083df3be4411a419d4061c155b75ee"/>
    <w:p>
      <w:pPr>
        <w:pStyle w:val="Heading2"/>
      </w:pPr>
      <w:r>
        <w:t xml:space="preserve">III. Profile: The Modern Financial Analyst in Dhaka</w:t>
      </w:r>
    </w:p>
    <w:p>
      <w:pPr>
        <w:pStyle w:val="FirstParagraph"/>
      </w:pPr>
      <w:r>
        <w:t xml:space="preserve">To understand the impact of this role, we must first define the profile. In</w:t>
      </w:r>
      <w:r>
        <w:t xml:space="preserve"> </w:t>
      </w:r>
      <w:r>
        <w:t xml:space="preserve">Bangladesh Dhaka</w:t>
      </w:r>
      <w:r>
        <w:t xml:space="preserve">, a modern</w:t>
      </w:r>
      <w:r>
        <w:t xml:space="preserve"> </w:t>
      </w:r>
      <w:r>
        <w:t xml:space="preserve">Financial Analyst</w:t>
      </w:r>
      <w:r>
        <w:t xml:space="preserve"> </w:t>
      </w:r>
    </w:p>
    <w:bookmarkStart w:id="22" w:name="X4a1132abc069ed1f13437f6fd2ce223f01255b4"/>
    <w:p>
      <w:pPr>
        <w:pStyle w:val="Heading3"/>
      </w:pPr>
      <w:r>
        <w:t xml:space="preserve">A. Technical Proficiency and Local Adaptation</w:t>
      </w:r>
    </w:p>
    <w:p>
      <w:pPr>
        <w:pStyle w:val="FirstParagraph"/>
      </w:pPr>
      <w:r>
        <w:t xml:space="preserve">While standard tools like Excel, SAP, and Power BI are universal, the</w:t>
      </w:r>
      <w:r>
        <w:t xml:space="preserve"> </w:t>
      </w:r>
      <w:r>
        <w:t xml:space="preserve">Financial Analyst</w:t>
      </w:r>
      <w:r>
        <w:t xml:space="preserve"> </w:t>
      </w:r>
      <w:r>
        <w:t xml:space="preserve">in Dhaka must adapt these tools to local contexts. This involves mastering local accounting standards (BAS) alongside International Financial Reporting Standards (IFRS). For instance a</w:t>
      </w:r>
      <w:r>
        <w:t xml:space="preserve"> </w:t>
      </w:r>
      <w:r>
        <w:rPr>
          <w:bCs/>
          <w:b/>
        </w:rPr>
        <w:t xml:space="preserve">Financial Analyst</w:t>
      </w:r>
      <w:r>
        <w:t xml:space="preserve"> </w:t>
      </w:r>
      <w:r>
        <w:t xml:space="preserve">working for a multinational garment factory in Narayanganj, just outside central</w:t>
      </w:r>
      <w:r>
        <w:t xml:space="preserve"> </w:t>
      </w:r>
      <w:r>
        <w:t xml:space="preserve">Bangladesh Dhaka</w:t>
      </w:r>
      <w:r>
        <w:t xml:space="preserve">, must track cost variances that are heavily influenced by local labor laws and energy supply fluctuations.</w:t>
      </w:r>
    </w:p>
    <w:bookmarkEnd w:id="22"/>
    <w:bookmarkStart w:id="23" w:name="Xfdd9dfa27162fd293214d7bb7cc431714fa2afe"/>
    <w:p>
      <w:pPr>
        <w:pStyle w:val="Heading3"/>
      </w:pPr>
      <w:r>
        <w:t xml:space="preserve">B. Risk Management in a High-Growth Market</w:t>
      </w:r>
    </w:p>
    <w:p>
      <w:pPr>
        <w:pStyle w:val="FirstParagraph"/>
      </w:pPr>
      <w:r>
        <w:t xml:space="preserve">The primary challenge for any</w:t>
      </w:r>
      <w:r>
        <w:t xml:space="preserve"> </w:t>
      </w:r>
      <w:r>
        <w:t xml:space="preserve">Financial AnalystBangladesh DhakaFinancial Analysts</w:t>
      </w:r>
      <w:r>
        <w:t xml:space="preserve"> </w:t>
      </w:r>
      <w:r>
        <w:t xml:space="preserve">utilized predictive modeling to forecast cash flow disruptions. By advising management to lock in forward exchange contracts and diversify supplier bases within South Asia, they prevented a potential liquidity crisis that had affected several competitors.</w:t>
      </w:r>
    </w:p>
    <w:bookmarkEnd w:id="23"/>
    <w:bookmarkStart w:id="24" w:name="c.-stakeholder-communication"/>
    <w:p>
      <w:pPr>
        <w:pStyle w:val="Heading3"/>
      </w:pPr>
      <w:r>
        <w:t xml:space="preserve">C. Stakeholder Communication</w:t>
      </w:r>
    </w:p>
    <w:p>
      <w:pPr>
        <w:pStyle w:val="FirstParagraph"/>
      </w:pPr>
      <w:r>
        <w:t xml:space="preserve">In the corporate culture of</w:t>
      </w:r>
      <w:r>
        <w:t xml:space="preserve"> </w:t>
      </w:r>
      <w:r>
        <w:t xml:space="preserve">Bangladesh Dhaka</w:t>
      </w:r>
      <w:r>
        <w:t xml:space="preserve">, hierarchy and relationship-building are paramount. A</w:t>
      </w:r>
      <w:r>
        <w:t xml:space="preserve"> </w:t>
      </w:r>
      <w:r>
        <w:rPr>
          <w:bCs/>
          <w:b/>
        </w:rPr>
        <w:t xml:space="preserve">Financial Analyst</w:t>
      </w:r>
    </w:p>
    <w:bookmarkEnd w:id="24"/>
    <w:bookmarkEnd w:id="25"/>
    <w:bookmarkStart w:id="29" w:name="iv.-case-scenario-the-expansion-project"/>
    <w:p>
      <w:pPr>
        <w:pStyle w:val="Heading2"/>
      </w:pPr>
      <w:r>
        <w:t xml:space="preserve">IV. Case Scenario: The Expansion Project</w:t>
      </w:r>
    </w:p>
    <w:p>
      <w:pPr>
        <w:pStyle w:val="FirstParagraph"/>
      </w:pPr>
      <w:r>
        <w:t xml:space="preserve">To illustrate the practical application of these skills, consider a hypothetical scenario involving "GreenLife Pharma," a leading pharmaceutical company headquartered in</w:t>
      </w:r>
      <w:r>
        <w:t xml:space="preserve"> </w:t>
      </w:r>
      <w:r>
        <w:t xml:space="preserve">Bangladesh Dhaka</w:t>
      </w:r>
      <w:r>
        <w:t xml:space="preserve">. The company planned to expand its manufacturing capacity, requiring an initial investment of $15 million.</w:t>
      </w:r>
    </w:p>
    <w:bookmarkStart w:id="26" w:name="the-analysts-challenge"/>
    <w:p>
      <w:pPr>
        <w:pStyle w:val="Heading3"/>
      </w:pPr>
      <w:r>
        <w:t xml:space="preserve">The Analyst’s Challenge</w:t>
      </w:r>
    </w:p>
    <w:p>
      <w:pPr>
        <w:pStyle w:val="FirstParagraph"/>
      </w:pPr>
      <w:r>
        <w:t xml:space="preserve">The internal team of</w:t>
      </w:r>
      <w:r>
        <w:t xml:space="preserve"> </w:t>
      </w:r>
      <w:r>
        <w:rPr>
          <w:bCs/>
          <w:b/>
        </w:rPr>
        <w:t xml:space="preserve">Financial Analysts</w:t>
      </w:r>
      <w:r>
        <w:t xml:space="preserve">Bangladesh Dhaka.</w:t>
      </w:r>
      <w:r>
        <w:t xml:space="preserve"> </w:t>
      </w:r>
      <w:r>
        <w:t xml:space="preserve">3. Competitive pricing pressures from generic drug manufacturers.</w:t>
      </w:r>
    </w:p>
    <w:bookmarkEnd w:id="26"/>
    <w:bookmarkStart w:id="27" w:name="the-analytical-process"/>
    <w:p>
      <w:pPr>
        <w:pStyle w:val="Heading3"/>
      </w:pPr>
      <w:r>
        <w:t xml:space="preserve">The Analytical Process</w:t>
      </w:r>
    </w:p>
    <w:p>
      <w:pPr>
        <w:pStyle w:val="FirstParagraph"/>
      </w:pPr>
      <w:r>
        <w:t xml:space="preserve">The</w:t>
      </w:r>
      <w:r>
        <w:t xml:space="preserve"> </w:t>
      </w:r>
      <w:r>
        <w:rPr>
          <w:bCs/>
          <w:b/>
        </w:rPr>
        <w:t xml:space="preserve">Financial Analysts</w:t>
      </w:r>
      <w:r>
        <w:t xml:space="preserve"> </w:t>
      </w:r>
      <w:r>
        <w:t xml:space="preserve">conducted a comprehensive Discounted Cash Flow (DCF) analysis, incorporating sensitivity analysis for currency fluctuations. They modeled three scenarios: optimistic, realistic, and pessimistic. Crucially, they engaged with local regulatory experts to predict potential changes in import duties.</w:t>
      </w:r>
    </w:p>
    <w:bookmarkEnd w:id="27"/>
    <w:bookmarkStart w:id="28" w:name="the-outcome"/>
    <w:p>
      <w:pPr>
        <w:pStyle w:val="Heading3"/>
      </w:pPr>
      <w:r>
        <w:t xml:space="preserve">The Outcome</w:t>
      </w:r>
    </w:p>
    <w:p>
      <w:pPr>
        <w:pStyle w:val="FirstParagraph"/>
      </w:pPr>
      <w:r>
        <w:t xml:space="preserve">The</w:t>
      </w:r>
      <w:r>
        <w:t xml:space="preserve"> </w:t>
      </w:r>
      <w:r>
        <w:rPr>
          <w:bCs/>
          <w:b/>
        </w:rPr>
        <w:t xml:space="preserve">Financial Analysts</w:t>
      </w:r>
      <w:r>
        <w:t xml:space="preserve"> </w:t>
      </w:r>
      <w:r>
        <w:t xml:space="preserve">recommended a phased expansion strategy rather than an immediate full-scale launch. This approach reduced initial capital exposure by 40%. Furthermore, they identified a government incentive program for green energy manufacturing, which allowed the company to secure low-interest loans. The decision, driven by rigorous analysis from the</w:t>
      </w:r>
      <w:r>
        <w:t xml:space="preserve"> </w:t>
      </w:r>
      <w:r>
        <w:rPr>
          <w:bCs/>
          <w:b/>
        </w:rPr>
        <w:t xml:space="preserve">Financial Analysts</w:t>
      </w:r>
      <w:r>
        <w:t xml:space="preserve">, resulted in a 15% higher ROI than initially projected within the first two years of operation.</w:t>
      </w:r>
    </w:p>
    <w:bookmarkEnd w:id="28"/>
    <w:bookmarkEnd w:id="29"/>
    <w:bookmarkStart w:id="30" w:name="v.-challenges-and-future-outlook"/>
    <w:p>
      <w:pPr>
        <w:pStyle w:val="Heading2"/>
      </w:pPr>
      <w:r>
        <w:t xml:space="preserve">V. Challenges and Future Outlook</w:t>
      </w:r>
    </w:p>
    <w:p>
      <w:pPr>
        <w:pStyle w:val="FirstParagraph"/>
      </w:pPr>
      <w:r>
        <w:t xml:space="preserve">Despite successes,</w:t>
      </w:r>
      <w:r>
        <w:t xml:space="preserve"> </w:t>
      </w:r>
      <w:r>
        <w:t xml:space="preserve">Financial Analysts</w:t>
      </w:r>
      <w:r>
        <w:t xml:space="preserve"> </w:t>
      </w:r>
      <w:r>
        <w:t xml:space="preserve">in</w:t>
      </w:r>
      <w:r>
        <w:t xml:space="preserve"> </w:t>
      </w:r>
      <w:r>
        <w:t xml:space="preserve">Bangladesh Dhaka</w:t>
      </w:r>
      <w:r>
        <w:t xml:space="preserve"> </w:t>
      </w:r>
    </w:p>
    <w:p>
      <w:pPr>
        <w:pStyle w:val="BodyText"/>
      </w:pPr>
      <w:r>
        <w:t xml:space="preserve">However, the future is promising. The government of Bangladesh is pushing for "Smart Bangladesh," emphasizing digital infrastructure. For</w:t>
      </w:r>
      <w:r>
        <w:t xml:space="preserve"> </w:t>
      </w:r>
      <w:r>
        <w:t xml:space="preserve">Financial AnalystsBangladesh DhakaFinancial Analyst</w:t>
      </w:r>
      <w:r>
        <w:t xml:space="preserve"> </w:t>
      </w:r>
    </w:p>
    <w:bookmarkEnd w:id="30"/>
    <w:bookmarkStart w:id="31" w:name="vi.-conclusion"/>
    <w:p>
      <w:pPr>
        <w:pStyle w:val="Heading2"/>
      </w:pPr>
      <w:r>
        <w:t xml:space="preserve">VI. Conclusion</w:t>
      </w:r>
    </w:p>
    <w:p>
      <w:pPr>
        <w:pStyle w:val="FirstParagraph"/>
      </w:pPr>
      <w:r>
        <w:t xml:space="preserve">The case study of financial analysis in</w:t>
      </w:r>
      <w:r>
        <w:t xml:space="preserve"> </w:t>
      </w:r>
      <w:r>
        <w:t xml:space="preserve">Bangladesh Dhaka</w:t>
      </w:r>
      <w:r>
        <w:t xml:space="preserve"> </w:t>
      </w:r>
      <w:r>
        <w:t xml:space="preserve">highlights a profession in transition. It is no longer sufficient to simply report what happened yesterday; the modern</w:t>
      </w:r>
      <w:r>
        <w:t xml:space="preserve"> </w:t>
      </w:r>
      <w:r>
        <w:rPr>
          <w:bCs/>
          <w:b/>
        </w:rPr>
        <w:t xml:space="preserve">Financial Analyst</w:t>
      </w:r>
      <w:r>
        <w:t xml:space="preserve">Bangladesh Dhaka, these professionals provide the stability and insight necessary for businesses to thrive in one of Asia's most vibrant emerging markets.</w:t>
      </w:r>
    </w:p>
    <w:p>
      <w:pPr>
        <w:pStyle w:val="BodyText"/>
      </w:pPr>
      <w:r>
        <w:t xml:space="preserve">For organizations operating in this region, investing in high-quality financial analysis is not an overhead cost but a strategic imperative. The</w:t>
      </w:r>
      <w:r>
        <w:t xml:space="preserve"> </w:t>
      </w:r>
      <w:r>
        <w:rPr>
          <w:bCs/>
          <w:b/>
        </w:rPr>
        <w:t xml:space="preserve">Financial Analyst</w:t>
      </w:r>
      <w:r>
        <w:t xml:space="preserve">Bangladesh Dhaka.</w:t>
      </w:r>
    </w:p>
    <w:p>
      <w:pPr>
        <w:pStyle w:val="BodyText"/>
      </w:pPr>
      <w:r>
        <w:rPr>
          <w:iCs/>
          <w:i/>
        </w:rPr>
        <w:t xml:space="preserve">This document is prepared for internal strategic planning purposes. All data represents generalized industry trends and hypothetical case applications for educational purposes within the context of Bangladesh Dhaka.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2026-07-29T05:51:43Z</dcterms:created>
  <dcterms:modified xsi:type="dcterms:W3CDTF">2026-07-29T05:51:43Z</dcterms:modified>
</cp:coreProperties>
</file>

<file path=docProps/custom.xml><?xml version="1.0" encoding="utf-8"?>
<Properties xmlns="http://schemas.openxmlformats.org/officeDocument/2006/custom-properties" xmlns:vt="http://schemas.openxmlformats.org/officeDocument/2006/docPropsVTypes"/>
</file>