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Belgium</w:t>
      </w:r>
      <w:r>
        <w:t xml:space="preserve"> </w:t>
      </w:r>
      <w:r>
        <w:t xml:space="preserve">Brussels</w:t>
      </w:r>
    </w:p>
    <w:bookmarkStart w:id="32" w:name="X67ff51821d720c7b86941f3c2b8f6b4712514a1"/>
    <w:p>
      <w:pPr>
        <w:pStyle w:val="Heading1"/>
      </w:pPr>
      <w:r>
        <w:t xml:space="preserve">Case Study: Navigating the Complexities of Finance in Belgium Brussels</w:t>
      </w:r>
    </w:p>
    <w:p>
      <w:pPr>
        <w:pStyle w:val="FirstParagraph"/>
      </w:pPr>
      <w:r>
        <w:rPr>
          <w:bCs/>
          <w:b/>
        </w:rPr>
        <w:t xml:space="preserve">Date:</w:t>
      </w:r>
      <w:r>
        <w:t xml:space="preserve"> </w:t>
      </w:r>
      <w:r>
        <w:t xml:space="preserve">October 2023</w:t>
      </w:r>
      <w:r>
        <w:br/>
      </w:r>
      <w:r>
        <w:rPr>
          <w:bCs/>
          <w:b/>
        </w:rPr>
        <w:t xml:space="preserve">Subject:</w:t>
      </w:r>
      <w:r>
        <w:t xml:space="preserve">The Critical Importance of a Financial Analyst within the Unique Economic Ecosystem of Belgium Brussels</w:t>
      </w:r>
    </w:p>
    <w:bookmarkStart w:id="20" w:name="executive-summary"/>
    <w:p>
      <w:pPr>
        <w:pStyle w:val="Heading2"/>
      </w:pPr>
      <w:r>
        <w:t xml:space="preserve">1. Executive Summary</w:t>
      </w:r>
    </w:p>
    <w:p>
      <w:pPr>
        <w:pStyle w:val="FirstParagraph"/>
      </w:pPr>
      <w:r>
        <w:t xml:space="preserve">In the heart of Europe, located in the bustling capital city known as</w:t>
      </w:r>
      <w:r>
        <w:t xml:space="preserve"> </w:t>
      </w:r>
      <w:r>
        <w:rPr>
          <w:bCs/>
          <w:b/>
        </w:rPr>
        <w:t xml:space="preserve">Belgium Brussels</w:t>
      </w:r>
      <w:r>
        <w:t xml:space="preserve">, economic dynamics are uniquely shaped by its dual role as both a national capital and the de facto capital of the European Union. This case study explores how a specialized Financial Analyst operates within this distinctive environment. The primary objective is to demonstrate why understanding local regulatory frameworks, cross-border tax implications, and international corporate structures is not merely beneficial but essential for any</w:t>
      </w:r>
      <w:r>
        <w:t xml:space="preserve"> </w:t>
      </w:r>
      <w:r>
        <w:rPr>
          <w:bCs/>
          <w:b/>
        </w:rPr>
        <w:t xml:space="preserve">Financial Analyst</w:t>
      </w:r>
      <w:r>
        <w:t xml:space="preserve"> </w:t>
      </w:r>
      <w:r>
        <w:t xml:space="preserve">aiming to deliver high-impact results in</w:t>
      </w:r>
      <w:r>
        <w:t xml:space="preserve"> </w:t>
      </w:r>
      <w:r>
        <w:rPr>
          <w:bCs/>
          <w:b/>
        </w:rPr>
        <w:t xml:space="preserve">Belgium Brussels</w:t>
      </w:r>
      <w:r>
        <w:t xml:space="preserve">.</w:t>
      </w:r>
    </w:p>
    <w:bookmarkEnd w:id="20"/>
    <w:bookmarkStart w:id="21" w:name="context-and-background"/>
    <w:p>
      <w:pPr>
        <w:pStyle w:val="Heading2"/>
      </w:pPr>
      <w:r>
        <w:t xml:space="preserve">2. Context and Background</w:t>
      </w:r>
    </w:p>
    <w:p>
      <w:pPr>
        <w:pStyle w:val="FirstParagraph"/>
      </w:pPr>
      <w:r>
        <w:t xml:space="preserve">The city of Brussels presents a fertile yet complex ground for financial operations. It hosts the headquarters of numerous multinational corporations, EU institutions, and international NGOs. Consequently, the financial landscape is characterized by high competition for talent, stringent compliance requirements from both Belgian federal authorities and European bodies, and a diverse workforce spanning multiple languages and cultures.</w:t>
      </w:r>
    </w:p>
    <w:p>
      <w:pPr>
        <w:pStyle w:val="BodyText"/>
      </w:pPr>
      <w:r>
        <w:t xml:space="preserve">For a company operating in this region, the margin for error in financial reporting is slim. A single misinterpretation of local labor laws or VAT directives can lead to significant penalties. This is where the role of the</w:t>
      </w:r>
      <w:r>
        <w:t xml:space="preserve"> </w:t>
      </w:r>
      <w:r>
        <w:rPr>
          <w:bCs/>
          <w:b/>
        </w:rPr>
        <w:t xml:space="preserve">Financial Analyst</w:t>
      </w:r>
      <w:r>
        <w:t xml:space="preserve"> </w:t>
      </w:r>
      <w:r>
        <w:t xml:space="preserve">becomes pivotal. They are not just number-crunchers; they are strategic advisors who must navigate the intricate web of regulations specific to</w:t>
      </w:r>
      <w:r>
        <w:t xml:space="preserve"> </w:t>
      </w:r>
      <w:r>
        <w:rPr>
          <w:bCs/>
          <w:b/>
        </w:rPr>
        <w:t xml:space="preserve">Belgium Brussels</w:t>
      </w:r>
      <w:r>
        <w:t xml:space="preserve">.</w:t>
      </w:r>
    </w:p>
    <w:bookmarkEnd w:id="21"/>
    <w:bookmarkStart w:id="24" w:name="X3d498cd50df8354abebd781a356c29c1bc424c8"/>
    <w:p>
      <w:pPr>
        <w:pStyle w:val="Heading2"/>
      </w:pPr>
      <w:r>
        <w:t xml:space="preserve">3. The Role of the Financial Analyst in this Context</w:t>
      </w:r>
    </w:p>
    <w:p>
      <w:pPr>
        <w:pStyle w:val="FirstParagraph"/>
      </w:pPr>
      <w:r>
        <w:t xml:space="preserve">In a typical corporate setting, a financial analyst focuses on budgeting, forecasting, and variance analysis. However, in the context of our case study regarding</w:t>
      </w:r>
      <w:r>
        <w:t xml:space="preserve"> </w:t>
      </w:r>
      <w:r>
        <w:rPr>
          <w:bCs/>
          <w:b/>
        </w:rPr>
        <w:t xml:space="preserve">Belgium Brussels</w:t>
      </w:r>
      <w:r>
        <w:t xml:space="preserve">, the responsibilities expand significantly.</w:t>
      </w:r>
    </w:p>
    <w:bookmarkStart w:id="22" w:name="regulatory-compliance-and-local-nuances"/>
    <w:p>
      <w:pPr>
        <w:pStyle w:val="Heading3"/>
      </w:pPr>
      <w:r>
        <w:t xml:space="preserve">3.1 Regulatory Compliance and Local Nuances</w:t>
      </w:r>
    </w:p>
    <w:p>
      <w:pPr>
        <w:pStyle w:val="FirstParagraph"/>
      </w:pPr>
      <w:r>
        <w:t xml:space="preserve">The first major challenge identified in this case study is compliance. The Belgian tax system is notoriously complex, with different rules applying to regions such as Flanders, Wallonia, and the Brussels-Capital Region itself. A competent</w:t>
      </w:r>
      <w:r>
        <w:t xml:space="preserve"> </w:t>
      </w:r>
      <w:r>
        <w:rPr>
          <w:bCs/>
          <w:b/>
        </w:rPr>
        <w:t xml:space="preserve">Financial Analyst</w:t>
      </w:r>
      <w:r>
        <w:t xml:space="preserve"> </w:t>
      </w:r>
      <w:r>
        <w:t xml:space="preserve">must possess a deep understanding of these regional distinctions. For instance, corporate tax rates may vary slightly depending on specific municipal surcharges located in</w:t>
      </w:r>
      <w:r>
        <w:t xml:space="preserve"> </w:t>
      </w:r>
      <w:r>
        <w:rPr>
          <w:bCs/>
          <w:b/>
        </w:rPr>
        <w:t xml:space="preserve">Belgium Brussels</w:t>
      </w:r>
      <w:r>
        <w:t xml:space="preserve">, and the analyst must accurately reflect these variances in financial models.</w:t>
      </w:r>
    </w:p>
    <w:bookmarkEnd w:id="22"/>
    <w:bookmarkStart w:id="23" w:name="cross-border-financial-integration"/>
    <w:p>
      <w:pPr>
        <w:pStyle w:val="Heading3"/>
      </w:pPr>
      <w:r>
        <w:t xml:space="preserve">3.2 Cross-Border Financial Integration</w:t>
      </w:r>
    </w:p>
    <w:p>
      <w:pPr>
        <w:pStyle w:val="FirstParagraph"/>
      </w:pPr>
      <w:r>
        <w:t xml:space="preserve">Much of the business activity in this region involves cross-border transactions within the Eurozone. The</w:t>
      </w:r>
      <w:r>
        <w:t xml:space="preserve"> </w:t>
      </w:r>
      <w:r>
        <w:rPr>
          <w:bCs/>
          <w:b/>
        </w:rPr>
        <w:t xml:space="preserve">Financial Analyst</w:t>
      </w:r>
      <w:r>
        <w:t xml:space="preserve"> </w:t>
      </w:r>
      <w:r>
        <w:t xml:space="preserve">is tasked with managing foreign exchange risks, although less prevalent due to the Euro, and ensuring that transfer pricing strategies comply with both Belgian law and OECD guidelines. This requires a sophisticated level of analysis that goes beyond standard accounting practices.</w:t>
      </w:r>
    </w:p>
    <w:bookmarkEnd w:id="23"/>
    <w:bookmarkEnd w:id="24"/>
    <w:bookmarkStart w:id="28" w:name="Xe7c8a94a7b20de5d91ba806ee8e8dc8a001aca3"/>
    <w:p>
      <w:pPr>
        <w:pStyle w:val="Heading2"/>
      </w:pPr>
      <w:r>
        <w:t xml:space="preserve">4. Case Study Scenario: The Expansion Project</w:t>
      </w:r>
    </w:p>
    <w:p>
      <w:pPr>
        <w:pStyle w:val="FirstParagraph"/>
      </w:pPr>
      <w:r>
        <w:t xml:space="preserve">To illustrate these points concretely, we examine a hypothetical scenario involving "EuroTech Solutions," a mid-sized technology firm planning to expand its operations within</w:t>
      </w:r>
      <w:r>
        <w:t xml:space="preserve"> </w:t>
      </w:r>
      <w:r>
        <w:rPr>
          <w:bCs/>
          <w:b/>
        </w:rPr>
        <w:t xml:space="preserve">Belgium Brussels</w:t>
      </w:r>
      <w:r>
        <w:t xml:space="preserve">.</w:t>
      </w:r>
    </w:p>
    <w:bookmarkStart w:id="25" w:name="the-challenge"/>
    <w:p>
      <w:pPr>
        <w:pStyle w:val="Heading3"/>
      </w:pPr>
      <w:r>
        <w:t xml:space="preserve">The Challenge</w:t>
      </w:r>
    </w:p>
    <w:p>
      <w:pPr>
        <w:pStyle w:val="FirstParagraph"/>
      </w:pPr>
      <w:r>
        <w:t xml:space="preserve">EuroTech Solutions needs to establish a new regional headquarters. The CFO has tasked the lead Financial Analyst with preparing a five-year financial projection that accounts for setup costs, ongoing operational expenses, tax liabilities, and potential revenue streams. The critical constraint is ensuring all projections align with the strict reporting standards expected by both Belgian stakeholders and international investors.</w:t>
      </w:r>
    </w:p>
    <w:bookmarkEnd w:id="25"/>
    <w:bookmarkStart w:id="26" w:name="data-collection-and-analysis"/>
    <w:p>
      <w:pPr>
        <w:pStyle w:val="Heading3"/>
      </w:pPr>
      <w:r>
        <w:t xml:space="preserve">4.1 Data Collection and Analysis</w:t>
      </w:r>
    </w:p>
    <w:p>
      <w:pPr>
        <w:pStyle w:val="FirstParagraph"/>
      </w:pPr>
      <w:r>
        <w:t xml:space="preserve">The Financial Analyst began by gathering data on real estate costs in specific Brussels municipalities, noting that commercial rents vary drastically between the European Quarter (EU district) and other areas. By leveraging local market knowledge, the analyst adjusted the capital expenditure budget to reflect realistic pricing for office space in</w:t>
      </w:r>
      <w:r>
        <w:t xml:space="preserve"> </w:t>
      </w:r>
      <w:r>
        <w:rPr>
          <w:bCs/>
          <w:b/>
        </w:rPr>
        <w:t xml:space="preserve">Belgium Brussels</w:t>
      </w:r>
      <w:r>
        <w:t xml:space="preserve">.</w:t>
      </w:r>
    </w:p>
    <w:p>
      <w:pPr>
        <w:pStyle w:val="BodyText"/>
      </w:pPr>
      <w:r>
        <w:t xml:space="preserve">Next, the analyst conducted a thorough review of Belgian fiscal incentives for innovation-friendly companies. This step was crucial, as failing to utilize these tax credits would have resulted in an overestimation of operating costs. The</w:t>
      </w:r>
      <w:r>
        <w:t xml:space="preserve"> </w:t>
      </w:r>
      <w:r>
        <w:rPr>
          <w:bCs/>
          <w:b/>
        </w:rPr>
        <w:t xml:space="preserve">Financial Analyst</w:t>
      </w:r>
      <w:r>
        <w:t xml:space="preserve">'s expertise ensured that the financial model accurately captured these savings, thereby improving the projected return on investment (ROI).</w:t>
      </w:r>
    </w:p>
    <w:bookmarkEnd w:id="26"/>
    <w:bookmarkStart w:id="27" w:name="stakeholder-communication"/>
    <w:p>
      <w:pPr>
        <w:pStyle w:val="Heading3"/>
      </w:pPr>
      <w:r>
        <w:t xml:space="preserve">4.2 Stakeholder Communication</w:t>
      </w:r>
    </w:p>
    <w:p>
      <w:pPr>
        <w:pStyle w:val="FirstParagraph"/>
      </w:pPr>
      <w:r>
        <w:t xml:space="preserve">A significant part of the role involved communication. Given that EuroTech’s board included members from Germany, France, and Belgium, the Financial Analyst had to present findings in a manner that bridged cultural and linguistic gaps. The final report was not only financially rigorous but also culturally attuned to the expectations of stakeholders familiar with business practices in</w:t>
      </w:r>
      <w:r>
        <w:t xml:space="preserve"> </w:t>
      </w:r>
      <w:r>
        <w:rPr>
          <w:bCs/>
          <w:b/>
        </w:rPr>
        <w:t xml:space="preserve">Belgium Brussels</w:t>
      </w:r>
      <w:r>
        <w:t xml:space="preserve">.</w:t>
      </w:r>
    </w:p>
    <w:bookmarkEnd w:id="27"/>
    <w:bookmarkEnd w:id="28"/>
    <w:bookmarkStart w:id="29" w:name="challenges-encountered"/>
    <w:p>
      <w:pPr>
        <w:pStyle w:val="Heading2"/>
      </w:pPr>
      <w:r>
        <w:t xml:space="preserve">5. Challenges Encountered</w:t>
      </w:r>
    </w:p>
    <w:p>
      <w:pPr>
        <w:pStyle w:val="FirstParagraph"/>
      </w:pPr>
      <w:r>
        <w:t xml:space="preserve">The case study highlights several challenges faced by the Financial Analyst:</w:t>
      </w:r>
    </w:p>
    <w:p>
      <w:pPr>
        <w:numPr>
          <w:ilvl w:val="0"/>
          <w:numId w:val="1001"/>
        </w:numPr>
        <w:pStyle w:val="Compact"/>
      </w:pPr>
      <w:r>
        <w:rPr>
          <w:bCs/>
          <w:b/>
        </w:rPr>
        <w:t xml:space="preserve">Data Fragmentation:</w:t>
      </w:r>
      <w:r>
        <w:t xml:space="preserve">Relying on multiple data sources due to the decentralized nature of Belgian administration.</w:t>
      </w:r>
    </w:p>
    <w:p>
      <w:pPr>
        <w:numPr>
          <w:ilvl w:val="0"/>
          <w:numId w:val="1001"/>
        </w:numPr>
        <w:pStyle w:val="Compact"/>
      </w:pPr>
      <w:r>
        <w:t xml:space="preserve">Tax Complexity:Navigating the interplay between federal corporate tax and local municipal taxes in Brussels.</w:t>
      </w:r>
    </w:p>
    <w:p>
      <w:pPr>
        <w:numPr>
          <w:ilvl w:val="0"/>
          <w:numId w:val="1001"/>
        </w:numPr>
        <w:pStyle w:val="Compact"/>
      </w:pPr>
      <w:r>
        <w:t xml:space="preserve">Linguistic Diversity:Interpreting financial documents that may exist in Dutch, French, or English, requiring precision to avoid misinterpretation.</w:t>
      </w:r>
    </w:p>
    <w:bookmarkEnd w:id="29"/>
    <w:bookmarkStart w:id="30" w:name="outcomes-and-lessons-learned"/>
    <w:p>
      <w:pPr>
        <w:pStyle w:val="Heading2"/>
      </w:pPr>
      <w:r>
        <w:t xml:space="preserve">6. Outcomes and Lessons Learned</w:t>
      </w:r>
    </w:p>
    <w:p>
      <w:pPr>
        <w:pStyle w:val="FirstParagraph"/>
      </w:pPr>
      <w:r>
        <w:t xml:space="preserve">The expansion project proceeded successfully. The accurate forecasting provided by the Financial Analyst allowed EuroTech to secure financing at favorable interest rates, as investors appreciated the transparency and compliance rigor demonstrated in the financial models.</w:t>
      </w:r>
    </w:p>
    <w:p>
      <w:pPr>
        <w:pStyle w:val="BodyText"/>
      </w:pPr>
      <w:r>
        <w:t xml:space="preserve">The key takeaway from this case study is that a generic approach to financial analysis is insufficient in</w:t>
      </w:r>
      <w:r>
        <w:t xml:space="preserve"> </w:t>
      </w:r>
      <w:r>
        <w:rPr>
          <w:bCs/>
          <w:b/>
        </w:rPr>
        <w:t xml:space="preserve">Belgium Brussels</w:t>
      </w:r>
      <w:r>
        <w:t xml:space="preserve">. The local environment demands a specialized skill set. The successful</w:t>
      </w:r>
      <w:r>
        <w:t xml:space="preserve"> </w:t>
      </w:r>
      <w:r>
        <w:rPr>
          <w:bCs/>
          <w:b/>
        </w:rPr>
        <w:t xml:space="preserve">Financial Analyst</w:t>
      </w:r>
      <w:r>
        <w:t xml:space="preserve"> </w:t>
      </w:r>
      <w:r>
        <w:t xml:space="preserve">must be:</w:t>
      </w:r>
    </w:p>
    <w:p>
      <w:pPr>
        <w:numPr>
          <w:ilvl w:val="0"/>
          <w:numId w:val="1002"/>
        </w:numPr>
        <w:pStyle w:val="Compact"/>
      </w:pPr>
      <w:r>
        <w:t xml:space="preserve">Locally Aware:A deeply informed about the specific economic and regulatory landscape of Brussels.</w:t>
      </w:r>
    </w:p>
    <w:p>
      <w:pPr>
        <w:numPr>
          <w:ilvl w:val="0"/>
          <w:numId w:val="1002"/>
        </w:numPr>
        <w:pStyle w:val="Compact"/>
      </w:pPr>
      <w:r>
        <w:t xml:space="preserve">Risk-Oriented:Capable of identifying and mitigating risks associated with cross-border operations.</w:t>
      </w:r>
    </w:p>
    <w:p>
      <w:pPr>
        <w:numPr>
          <w:ilvl w:val="0"/>
          <w:numId w:val="1002"/>
        </w:numPr>
        <w:pStyle w:val="Compact"/>
      </w:pPr>
      <w:r>
        <w:t xml:space="preserve">Strategically Mindful:Capable of translating complex regulatory data into actionable business strategies.</w:t>
      </w:r>
    </w:p>
    <w:bookmarkEnd w:id="30"/>
    <w:bookmarkStart w:id="31" w:name="conclusion"/>
    <w:p>
      <w:pPr>
        <w:pStyle w:val="Heading2"/>
      </w:pPr>
      <w:r>
        <w:t xml:space="preserve">7. Conclusion</w:t>
      </w:r>
    </w:p>
    <w:p>
      <w:pPr>
        <w:pStyle w:val="FirstParagraph"/>
      </w:pPr>
      <w:r>
        <w:t xml:space="preserve">This case study underscores the vital importance of tailoring financial analysis to local contexts. For businesses and professionals operating in or with</w:t>
      </w:r>
      <w:r>
        <w:t xml:space="preserve"> </w:t>
      </w:r>
      <w:r>
        <w:rPr>
          <w:bCs/>
          <w:b/>
        </w:rPr>
        <w:t xml:space="preserve">Belgium Brussels</w:t>
      </w:r>
      <w:r>
        <w:t xml:space="preserve">, the role of the Financial Analyst extends far beyond traditional metrics. It requires a nuanced understanding of local regulations, cultural nuances, and international compliance standards.</w:t>
      </w:r>
    </w:p>
    <w:p>
      <w:pPr>
        <w:pStyle w:val="BodyText"/>
      </w:pPr>
      <w:r>
        <w:t xml:space="preserve">In conclusion, any organization seeking to thrive in this dynamic European hub must recognize that employing a skilled Financial Analyst who is well-versed in the specifics of</w:t>
      </w:r>
      <w:r>
        <w:t xml:space="preserve"> </w:t>
      </w:r>
      <w:r>
        <w:rPr>
          <w:bCs/>
          <w:b/>
        </w:rPr>
        <w:t xml:space="preserve">Belgium Brussels</w:t>
      </w:r>
      <w:r>
        <w:t xml:space="preserve"> </w:t>
      </w:r>
      <w:r>
        <w:t xml:space="preserve">is not just an administrative necessity but a strategic imperative. The ability to navigate the complexities of this region directly correlates with financial stability and long-term growth potential.</w:t>
      </w:r>
    </w:p>
    <w:p>
      <w:pPr>
        <w:pStyle w:val="BodyText"/>
      </w:pPr>
      <w:r>
        <w:rPr>
          <w:iCs/>
          <w:i/>
        </w:rPr>
        <w:t xml:space="preserve">Note: This document serves as a generalized case study for educational and illustrative purposes regarding financial roles in specific geographic contexts.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 Financial Analyst in Belgium Brussels</dc:title>
  <dc:creator/>
  <dc:language>en</dc:language>
  <cp:keywords/>
  <dcterms:created xsi:type="dcterms:W3CDTF">2026-07-30T08:30:57Z</dcterms:created>
  <dcterms:modified xsi:type="dcterms:W3CDTF">2026-07-30T08:30:57Z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