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Canadian</w:t>
      </w:r>
      <w:r>
        <w:t xml:space="preserve"> </w:t>
      </w:r>
      <w:r>
        <w:t xml:space="preserve">Market</w:t>
      </w:r>
    </w:p>
    <w:bookmarkStart w:id="33" w:name="Xa7f5ac29fe36d11f2972b421af25fd1aadd2eb0"/>
    <w:p>
      <w:pPr>
        <w:pStyle w:val="Heading1"/>
      </w:pPr>
      <w:r>
        <w:t xml:space="preserve">Case Study Optimizing Corporate Liquidity and Growth in Canada Toronto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Focus Area:</w:t>
      </w:r>
    </w:p>
    <w:bookmarkStart w:id="20" w:name="executive-summary"/>
    <w:p>
      <w:pPr>
        <w:pStyle w:val="Heading2"/>
      </w:pPr>
      <w:r>
        <w:t xml:space="preserve">Executive Summary</w:t>
      </w:r>
    </w:p>
    <w:p>
      <w:pPr>
        <w:pStyle w:val="FirstParagraph"/>
      </w:pPr>
      <w:r>
        <w:t xml:space="preserve">This case study examines the pivotal role of a senior</w:t>
      </w:r>
    </w:p>
    <w:p>
      <w:pPr>
        <w:pStyle w:val="BodyText"/>
      </w:pPr>
      <w:r>
        <w:t xml:space="preserve">Financial Analyst within the dynamic economic landscape of Toronto, Canada. It explores how strategic financial modeling, regulatory compliance with Canadian standards, and data-driven decision-making contributed to a 15% increase in operational efficiency for a mid-sized technology firm. The analysis specifically highlights the challenges unique to operating in</w:t>
      </w:r>
      <w:r>
        <w:t xml:space="preserve"> </w:t>
      </w:r>
      <w:r>
        <w:rPr>
          <w:bCs/>
          <w:b/>
        </w:rPr>
        <w:t xml:space="preserve">Canada Toronto</w:t>
      </w:r>
      <w:r>
        <w:t xml:space="preserve">, including currency fluctuations between CAD and USD, provincial tax implications under Ontario regulations, and the competitive talent market of downtown Toronto.</w:t>
      </w:r>
    </w:p>
    <w:bookmarkEnd w:id="20"/>
    <w:bookmarkStart w:id="21" w:name="company-background"/>
    <w:p>
      <w:pPr>
        <w:pStyle w:val="Heading2"/>
      </w:pPr>
      <w:r>
        <w:t xml:space="preserve">Company Background</w:t>
      </w:r>
    </w:p>
    <w:p>
      <w:pPr>
        <w:pStyle w:val="FirstParagraph"/>
      </w:pPr>
      <w:r>
        <w:t xml:space="preserve">The subject of this study is "NorthTech Solutions," a growing software development firm headquartered in the Financial District of Toronto. Founded five years ago, NorthTech specializes in enterprise resource planning (ERP) software for small-to-medium enterprises. While the company experienced rapid initial growth, it faced stagnation due to poor cash flow management and inefficient capital allocation strategies. The Board of Directors appointed a new</w:t>
      </w:r>
      <w:r>
        <w:t xml:space="preserve"> </w:t>
      </w:r>
      <w:r>
        <w:rPr>
          <w:bCs/>
          <w:b/>
        </w:rPr>
        <w:t xml:space="preserve">Financial Analyst</w:t>
      </w:r>
      <w:r>
        <w:t xml:space="preserve"> </w:t>
      </w:r>
      <w:r>
        <w:t xml:space="preserve">team to diagnose these inefficiencies and propose a restructuring plan tailored to the Canadian market.</w:t>
      </w:r>
    </w:p>
    <w:bookmarkEnd w:id="21"/>
    <w:bookmarkStart w:id="23" w:name="X094d55e20430649315dd29dfedb1b4bbe3bef0f"/>
    <w:p>
      <w:pPr>
        <w:pStyle w:val="Heading2"/>
      </w:pPr>
      <w:r>
        <w:t xml:space="preserve">The Challenge: Navigating the Toronto Ecosystem</w:t>
      </w:r>
    </w:p>
    <w:p>
      <w:pPr>
        <w:pStyle w:val="FirstParagraph"/>
      </w:pPr>
      <w:r>
        <w:t xml:space="preserve">The primary challenge was not merely internal accounting but external environmental factors specific to</w:t>
      </w:r>
      <w:r>
        <w:t xml:space="preserve"> </w:t>
      </w:r>
      <w:r>
        <w:rPr>
          <w:bCs/>
          <w:b/>
        </w:rPr>
        <w:t xml:space="preserve">Canada Toronto</w:t>
      </w:r>
      <w:r>
        <w:t xml:space="preserve">. As a hub for banking, fintech, and technology in Canada, Toronto presents unique opportunities and complexities. The key issues identified were:</w:t>
      </w:r>
    </w:p>
    <w:p>
      <w:pPr>
        <w:numPr>
          <w:ilvl w:val="0"/>
          <w:numId w:val="1001"/>
        </w:numPr>
        <w:pStyle w:val="Compact"/>
      </w:pPr>
      <w:r>
        <w:rPr>
          <w:bCs/>
          <w:b/>
        </w:rPr>
        <w:t xml:space="preserve">Currency Volatility:</w:t>
      </w:r>
      <w:r>
        <w:t xml:space="preserve"> </w:t>
      </w:r>
      <w:r>
        <w:t xml:space="preserve">NorthTech derives 60% of its revenue from the United States but holds significant assets and liabilities in Canadian Dollars (CAD). Fluctuations in the exchange rate were eroding profit margins.</w:t>
      </w:r>
    </w:p>
    <w:p>
      <w:pPr>
        <w:numPr>
          <w:ilvl w:val="0"/>
          <w:numId w:val="1001"/>
        </w:numPr>
        <w:pStyle w:val="Compact"/>
      </w:pPr>
      <w:r>
        <w:rPr>
          <w:bCs/>
          <w:b/>
        </w:rPr>
        <w:t xml:space="preserve">Tax Complexity:</w:t>
      </w:r>
      <w:r>
        <w:t xml:space="preserve"> </w:t>
      </w:r>
      <w:r>
        <w:t xml:space="preserve">Navigating the intersection of federal Corporate Income Tax and Ontario Provincial Sales Tax (OPST), along with available R&amp;D tax credits specific to Canadian tech firms, required intricate analysis.</w:t>
      </w:r>
    </w:p>
    <w:p>
      <w:pPr>
        <w:numPr>
          <w:ilvl w:val="0"/>
          <w:numId w:val="1001"/>
        </w:numPr>
        <w:pStyle w:val="Compact"/>
      </w:pPr>
      <w:r>
        <w:rPr>
          <w:bCs/>
          <w:b/>
        </w:rPr>
        <w:t xml:space="preserve">Funding Landscape:</w:t>
      </w:r>
      <w:r>
        <w:t xml:space="preserve"> </w:t>
      </w:r>
      <w:r>
        <w:t xml:space="preserve">Accessing capital in</w:t>
      </w:r>
      <w:r>
        <w:t xml:space="preserve"> </w:t>
      </w:r>
      <w:r>
        <w:rPr>
          <w:iCs/>
          <w:i/>
        </w:rPr>
        <w:t xml:space="preserve">Canada Toronto</w:t>
      </w:r>
      <w:r>
        <w:t xml:space="preserve"> </w:t>
      </w:r>
      <w:r>
        <w:t xml:space="preserve">required understanding local venture capital trends and government grants like the Scientific Research and Experimental Development (SR&amp;ED) program.</w:t>
      </w:r>
    </w:p>
    <w:bookmarkStart w:id="22" w:name="the-role-of-the-financial-analyst"/>
    <w:p>
      <w:pPr>
        <w:pStyle w:val="Heading3"/>
      </w:pPr>
      <w:r>
        <w:t xml:space="preserve">The Role of the Financial Analyst</w:t>
      </w:r>
    </w:p>
    <w:p>
      <w:pPr>
        <w:pStyle w:val="FirstParagraph"/>
      </w:pPr>
      <w:r>
        <w:t xml:space="preserve">In this context, the</w:t>
      </w:r>
      <w:r>
        <w:t xml:space="preserve"> </w:t>
      </w:r>
      <w:r>
        <w:rPr>
          <w:bCs/>
          <w:b/>
        </w:rPr>
        <w:t xml:space="preserve">Financial Analyst</w:t>
      </w:r>
      <w:r>
        <w:t xml:space="preserve"> </w:t>
      </w:r>
      <w:r>
        <w:t xml:space="preserve">was not just a number-cruncher but a strategic partner. Their mandate was to translate complex financial data into actionable business intelligence that could withstand scrutiny from both local Toronto stakeholders and international investors.</w:t>
      </w:r>
    </w:p>
    <w:bookmarkEnd w:id="22"/>
    <w:bookmarkEnd w:id="23"/>
    <w:bookmarkStart w:id="28" w:name="the-analytical-approach"/>
    <w:p>
      <w:pPr>
        <w:pStyle w:val="Heading2"/>
      </w:pPr>
      <w:r>
        <w:t xml:space="preserve">The Analytical Approach</w:t>
      </w:r>
    </w:p>
    <w:p>
      <w:pPr>
        <w:pStyle w:val="FirstParagraph"/>
      </w:pPr>
      <w:r>
        <w:t xml:space="preserve">To address these challenges, the</w:t>
      </w:r>
      <w:r>
        <w:t xml:space="preserve"> </w:t>
      </w:r>
      <w:r>
        <w:rPr>
          <w:bCs/>
          <w:b/>
        </w:rPr>
        <w:t xml:space="preserve">Financial Analyst</w:t>
      </w:r>
      <w:r>
        <w:t xml:space="preserve"> </w:t>
      </w:r>
      <w:r>
        <w:t xml:space="preserve">implemented a four-phase strategy. This approach leveraged advanced forecasting models and deep knowledge of the Canadian regulatory framework.</w:t>
      </w:r>
    </w:p>
    <w:bookmarkStart w:id="24" w:name="phase-1-comprehensive-diagnostic-review"/>
    <w:p>
      <w:pPr>
        <w:pStyle w:val="Heading3"/>
      </w:pPr>
      <w:r>
        <w:t xml:space="preserve">Phase 1: Comprehensive Diagnostic Review</w:t>
      </w:r>
    </w:p>
    <w:p>
      <w:pPr>
        <w:pStyle w:val="FirstParagraph"/>
      </w:pPr>
      <w:r>
        <w:t xml:space="preserve">The initial step involved a forensic audit of NorthTech’s historical financial statements. The analyst reviewed accounts receivable aging reports, inventory turnover ratios (though minimal for software, it applied to hardware integration projects), and overhead costs. Special attention was paid to identifying leakage in the Canadian payroll system, where benefits and pension contributions (CPP/QPP equivalents in Ontario) were being miscalculated due to outdated assumptions.</w:t>
      </w:r>
    </w:p>
    <w:bookmarkEnd w:id="24"/>
    <w:bookmarkStart w:id="25" w:name="phase-2-forex-risk-management-strategy"/>
    <w:p>
      <w:pPr>
        <w:pStyle w:val="Heading3"/>
      </w:pPr>
      <w:r>
        <w:t xml:space="preserve">Phase 2: Forex Risk Management Strategy</w:t>
      </w:r>
    </w:p>
    <w:p>
      <w:pPr>
        <w:pStyle w:val="FirstParagraph"/>
      </w:pPr>
      <w:r>
        <w:t xml:space="preserve">A critical component of the analysis focused on currency exposure. Since NorthTech operated heavily between the US and Canada, the</w:t>
      </w:r>
      <w:r>
        <w:t xml:space="preserve"> </w:t>
      </w:r>
      <w:r>
        <w:rPr>
          <w:bCs/>
          <w:b/>
        </w:rPr>
        <w:t xml:space="preserve">Financial Analyst</w:t>
      </w:r>
      <w:r>
        <w:t xml:space="preserve"> </w:t>
      </w:r>
      <w:r>
        <w:t xml:space="preserve">developed a hedging strategy using forward contracts. By locking in exchange rates for future US dollar revenues, the company could stabilize its CAD-based operating costs. This required continuous monitoring of Bank of Canada interest rate decisions and their impact on currency valuation.</w:t>
      </w:r>
    </w:p>
    <w:bookmarkEnd w:id="25"/>
    <w:bookmarkStart w:id="26" w:name="phase-3-optimization-of-tax-incentives"/>
    <w:p>
      <w:pPr>
        <w:pStyle w:val="Heading3"/>
      </w:pPr>
      <w:r>
        <w:t xml:space="preserve">Phase 3: Optimization of Tax Incentives</w:t>
      </w:r>
    </w:p>
    <w:p>
      <w:pPr>
        <w:pStyle w:val="FirstParagraph"/>
      </w:pPr>
      <w:r>
        <w:t xml:space="preserve">Toronto is a hub for innovation, and the Canadian government offers robust incentives for tech growth. The analyst collaborated with tax specialists to maximize claims under the SR&amp;ED program. This involved categorizing development costs accurately to ensure maximum refundability. Additionally, they analyzed the impact of Ontario’s small business deduction rate versus general corporate rates, structuring inter-company transactions to optimize tax liability legally.</w:t>
      </w:r>
    </w:p>
    <w:bookmarkEnd w:id="26"/>
    <w:bookmarkStart w:id="27" w:name="phase-4-scenario-modeling-for-growth"/>
    <w:p>
      <w:pPr>
        <w:pStyle w:val="Heading3"/>
      </w:pPr>
      <w:r>
        <w:t xml:space="preserve">Phase 4: Scenario Modeling for Growth</w:t>
      </w:r>
    </w:p>
    <w:p>
      <w:pPr>
        <w:pStyle w:val="FirstParagraph"/>
      </w:pPr>
      <w:r>
        <w:t xml:space="preserve">The final phase involved building dynamic financial models in Excel and Python. These models simulated various growth scenarios based on market conditions in</w:t>
      </w:r>
      <w:r>
        <w:t xml:space="preserve"> </w:t>
      </w:r>
      <w:r>
        <w:rPr>
          <w:bCs/>
          <w:b/>
        </w:rPr>
        <w:t xml:space="preserve">Canada Toronto</w:t>
      </w:r>
      <w:r>
        <w:t xml:space="preserve">. For instance, if the Toronto real estate market continued to rise (impacting employee retention costs), how would that affect burn rate? The analyst provided the CEO with "what-if" analyses to prepare for economic downturns or sudden spikes in demand.</w:t>
      </w:r>
    </w:p>
    <w:bookmarkEnd w:id="27"/>
    <w:bookmarkEnd w:id="28"/>
    <w:bookmarkStart w:id="29" w:name="results-and-impact"/>
    <w:p>
      <w:pPr>
        <w:pStyle w:val="Heading2"/>
      </w:pPr>
      <w:r>
        <w:t xml:space="preserve">Results and Impact</w:t>
      </w:r>
    </w:p>
    <w:p>
      <w:pPr>
        <w:pStyle w:val="FirstParagraph"/>
      </w:pPr>
      <w:r>
        <w:t xml:space="preserve">The implementation of the strategies devised by the</w:t>
      </w:r>
      <w:r>
        <w:t xml:space="preserve"> </w:t>
      </w:r>
      <w:r>
        <w:rPr>
          <w:bCs/>
          <w:b/>
        </w:rPr>
        <w:t xml:space="preserve">Financial Analyst</w:t>
      </w:r>
      <w:r>
        <w:t xml:space="preserve"> </w:t>
      </w:r>
      <w:r>
        <w:t xml:space="preserve">yielded significant results over a 12-month period:</w:t>
      </w:r>
    </w:p>
    <w:p>
      <w:pPr>
        <w:numPr>
          <w:ilvl w:val="0"/>
          <w:numId w:val="1002"/>
        </w:numPr>
        <w:pStyle w:val="Compact"/>
      </w:pPr>
      <w:r>
        <w:rPr>
          <w:bCs/>
          <w:b/>
        </w:rPr>
        <w:t xml:space="preserve">Margin Improvement:</w:t>
      </w:r>
      <w:r>
        <w:t xml:space="preserve"> </w:t>
      </w:r>
      <w:r>
        <w:t xml:space="preserve">By hedging currency risks, NorthTech reduced forex-related losses by $450,000 CAD annually.</w:t>
      </w:r>
    </w:p>
    <w:p>
      <w:pPr>
        <w:numPr>
          <w:ilvl w:val="0"/>
          <w:numId w:val="1002"/>
        </w:numPr>
        <w:pStyle w:val="Compact"/>
      </w:pPr>
      <w:r>
        <w:rPr>
          <w:bCs/>
          <w:b/>
        </w:rPr>
        <w:t xml:space="preserve">Tax Efficiency:</w:t>
      </w:r>
      <w:r>
        <w:t xml:space="preserve"> </w:t>
      </w:r>
      <w:r>
        <w:t xml:space="preserve">Proper utilization of SR&amp;ED credits and provincial incentives resulted in a tax savings of $220,000 CAD.</w:t>
      </w:r>
    </w:p>
    <w:p>
      <w:pPr>
        <w:numPr>
          <w:ilvl w:val="0"/>
          <w:numId w:val="1002"/>
        </w:numPr>
        <w:pStyle w:val="Compact"/>
      </w:pPr>
      <w:r>
        <w:rPr>
          <w:bCs/>
          <w:b/>
        </w:rPr>
        <w:t xml:space="preserve">Cash Flow Visibility:</w:t>
      </w:r>
      <w:r>
        <w:t xml:space="preserve"> </w:t>
      </w:r>
      <w:r>
        <w:t xml:space="preserve">The new forecasting models improved cash flow accuracy by 40%, allowing for better working capital management.</w:t>
      </w:r>
    </w:p>
    <w:p>
      <w:pPr>
        <w:numPr>
          <w:ilvl w:val="0"/>
          <w:numId w:val="1002"/>
        </w:numPr>
        <w:pStyle w:val="Compact"/>
      </w:pPr>
      <w:r>
        <w:rPr>
          <w:bCs/>
          <w:b/>
        </w:rPr>
        <w:t xml:space="preserve">Strategic Clarity:</w:t>
      </w:r>
      <w:r>
        <w:t xml:space="preserve"> </w:t>
      </w:r>
      <w:r>
        <w:t xml:space="preserve">The executive team in Toronto now makes data-backed decisions rather than relying on intuition, leading to a more agile response to market changes.</w:t>
      </w:r>
    </w:p>
    <w:bookmarkEnd w:id="29"/>
    <w:bookmarkStart w:id="30" w:name="X4277ede34dca5f029a84e3c693583ea46824367"/>
    <w:p>
      <w:pPr>
        <w:pStyle w:val="Heading2"/>
      </w:pPr>
      <w:r>
        <w:t xml:space="preserve">Skill Set Analysis: The Modern Financial Analyst in Canada</w:t>
      </w:r>
    </w:p>
    <w:p>
      <w:pPr>
        <w:pStyle w:val="FirstParagraph"/>
      </w:pPr>
      <w:r>
        <w:t xml:space="preserve">This case study underscores the evolving skill set required for a</w:t>
      </w:r>
      <w:r>
        <w:t xml:space="preserve"> </w:t>
      </w:r>
      <w:r>
        <w:rPr>
          <w:bCs/>
          <w:b/>
        </w:rPr>
        <w:t xml:space="preserve">Financial Analyst</w:t>
      </w:r>
      <w:r>
        <w:t xml:space="preserve"> </w:t>
      </w:r>
      <w:r>
        <w:t xml:space="preserve">operating in a major Canadian hub like Toronto. It is no longer sufficient to have strong quantitative skills. The successful analyst must possess:</w:t>
      </w:r>
    </w:p>
    <w:p>
      <w:pPr>
        <w:numPr>
          <w:ilvl w:val="0"/>
          <w:numId w:val="1003"/>
        </w:numPr>
        <w:pStyle w:val="Compact"/>
      </w:pPr>
      <w:r>
        <w:rPr>
          <w:bCs/>
          <w:b/>
        </w:rPr>
        <w:t xml:space="preserve">Linguistic and Cultural Fluency:</w:t>
      </w:r>
      <w:r>
        <w:t xml:space="preserve"> </w:t>
      </w:r>
      <w:r>
        <w:t xml:space="preserve">Understanding the nuances of doing business in both English and French contexts, though Toronto is predominantly Anglophone, national companies often operate bilingually.</w:t>
      </w:r>
    </w:p>
    <w:p>
      <w:pPr>
        <w:numPr>
          <w:ilvl w:val="0"/>
          <w:numId w:val="1003"/>
        </w:numPr>
        <w:pStyle w:val="Compact"/>
      </w:pPr>
      <w:r>
        <w:rPr>
          <w:bCs/>
          <w:b/>
        </w:rPr>
        <w:t xml:space="preserve">Regulatory Knowledge:</w:t>
      </w:r>
      <w:r>
        <w:t xml:space="preserve"> </w:t>
      </w:r>
      <w:r>
        <w:t xml:space="preserve">Deep familiarity with Canadian GAAP (Generally Accepted Accounting Principles) or IFRS (International Financial Reporting Standards), which are mandatory for most large public companies in Canada.</w:t>
      </w:r>
    </w:p>
    <w:p>
      <w:pPr>
        <w:numPr>
          <w:ilvl w:val="0"/>
          <w:numId w:val="1003"/>
        </w:numPr>
        <w:pStyle w:val="Compact"/>
      </w:pPr>
      <w:r>
        <w:rPr>
          <w:bCs/>
          <w:b/>
        </w:rPr>
        <w:t xml:space="preserve">Tech Savviness:</w:t>
      </w:r>
      <w:r>
        <w:t xml:space="preserve"> </w:t>
      </w:r>
      <w:r>
        <w:t xml:space="preserve">Proficiency in SQL, Python, and Power BI is increasingly standard in Toronto’s competitive fintech and corporate sectors.</w:t>
      </w:r>
    </w:p>
    <w:p>
      <w:pPr>
        <w:numPr>
          <w:ilvl w:val="0"/>
          <w:numId w:val="1003"/>
        </w:numPr>
        <w:pStyle w:val="Compact"/>
      </w:pPr>
      <w:r>
        <w:rPr>
          <w:bCs/>
          <w:b/>
        </w:rPr>
        <w:t xml:space="preserve">Economic Awareness:</w:t>
      </w:r>
      <w:r>
        <w:t xml:space="preserve"> </w:t>
      </w:r>
      <w:r>
        <w:t xml:space="preserve">An intuitive grasp of how Bank of Canada monetary policy affects local businesses.</w:t>
      </w:r>
    </w:p>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Financial Analyst</w:t>
      </w:r>
      <w:r>
        <w:t xml:space="preserve"> </w:t>
      </w:r>
      <w:r>
        <w:t xml:space="preserve">is central to the stability and growth of corporations operating in</w:t>
      </w:r>
      <w:r>
        <w:t xml:space="preserve"> </w:t>
      </w:r>
      <w:r>
        <w:rPr>
          <w:iCs/>
          <w:i/>
        </w:rPr>
        <w:t xml:space="preserve">Canada Toronto</w:t>
      </w:r>
      <w:r>
        <w:t xml:space="preserve">. This case study demonstrates that financial analysis extends beyond reporting past performance; it is a forward-looking discipline that mitigates risk, optimizes tax structures, and guides strategic investment. For NorthTech Solutions, the expertise provided by their financial team transformed a period of stagnation into one of robust growth and market leadership. As Toronto continues to solidify its position as a global tech hub, the demand for high-caliber</w:t>
      </w:r>
      <w:r>
        <w:t xml:space="preserve"> </w:t>
      </w:r>
      <w:r>
        <w:rPr>
          <w:bCs/>
          <w:b/>
        </w:rPr>
        <w:t xml:space="preserve">Financial Analyst</w:t>
      </w:r>
      <w:r>
        <w:t xml:space="preserve"> </w:t>
      </w:r>
      <w:r>
        <w:t xml:space="preserve">professionals who understand the local economic intricacies will only continue to rise. Organizations that invest in such expertise are better positioned to navigate the complexities of the Canadian market and achieve sustainable long-term success.</w:t>
      </w:r>
    </w:p>
    <w:bookmarkEnd w:id="31"/>
    <w:bookmarkStart w:id="32" w:name="key-takeaways-for-stakeholders"/>
    <w:p>
      <w:pPr>
        <w:pStyle w:val="Heading2"/>
      </w:pPr>
      <w:r>
        <w:t xml:space="preserve">Key Takeaways for Stakeholders</w:t>
      </w:r>
    </w:p>
    <w:p>
      <w:pPr>
        <w:numPr>
          <w:ilvl w:val="0"/>
          <w:numId w:val="1004"/>
        </w:numPr>
        <w:pStyle w:val="Compact"/>
      </w:pPr>
      <w:r>
        <w:rPr>
          <w:bCs/>
          <w:b/>
        </w:rPr>
        <w:t xml:space="preserve">Hire Locally, Think Globally:</w:t>
      </w:r>
      <w:r>
        <w:t xml:space="preserve"> </w:t>
      </w:r>
      <w:r>
        <w:t xml:space="preserve">Analysts must understand local Toronto economic drivers while considering global implications.</w:t>
      </w:r>
    </w:p>
    <w:p>
      <w:pPr>
        <w:numPr>
          <w:ilvl w:val="0"/>
          <w:numId w:val="1004"/>
        </w:numPr>
        <w:pStyle w:val="Compact"/>
      </w:pPr>
      <w:r>
        <w:rPr>
          <w:iCs/>
          <w:i/>
        </w:rPr>
        <w:t xml:space="preserve">Leverage Government Support:</w:t>
      </w:r>
      <w:r>
        <w:t xml:space="preserve"> </w:t>
      </w:r>
      <w:r>
        <w:t xml:space="preserve">Canadian incentives are substantial and require expert analysis to access.</w:t>
      </w:r>
    </w:p>
    <w:p>
      <w:pPr>
        <w:numPr>
          <w:ilvl w:val="0"/>
          <w:numId w:val="1004"/>
        </w:numPr>
        <w:pStyle w:val="Compact"/>
      </w:pPr>
      <w:r>
        <w:rPr>
          <w:bCs/>
          <w:b/>
        </w:rPr>
        <w:t xml:space="preserve">Data is King:</w:t>
      </w:r>
      <w:r>
        <w:t xml:space="preserve"> </w:t>
      </w:r>
      <w:r>
        <w:t xml:space="preserve">In the competitive landscape of Canada Toronto, data-driven insights provide the ultimate competitive advantage.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the Canadian Market</dc:title>
  <dc:creator/>
  <dc:language>en</dc:language>
  <cp:keywords/>
  <dcterms:created xsi:type="dcterms:W3CDTF">2026-07-29T04:57:47Z</dcterms:created>
  <dcterms:modified xsi:type="dcterms:W3CDTF">2026-07-29T04:57:47Z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