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Germany</w:t>
      </w:r>
      <w:r>
        <w:t xml:space="preserve"> </w:t>
      </w:r>
      <w:r>
        <w:t xml:space="preserve">Frankfurt</w:t>
      </w:r>
    </w:p>
    <w:bookmarkStart w:id="31" w:name="X6c3fd6b585fde8988cd262381fd06144bb87101"/>
    <w:p>
      <w:pPr>
        <w:pStyle w:val="Heading1"/>
      </w:pPr>
      <w:r>
        <w:t xml:space="preserve">The Nexus of Capital and Regulation: A Case Study on the Role of the Financial Analyst in Germany Frankfurt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Strategic Adaptation of a Senior Financial Analyst within the German Market Context</w:t>
      </w:r>
    </w:p>
    <w:p>
      <w:pPr>
        <w:pStyle w:val="BodyText"/>
      </w:pPr>
      <w:r>
        <w:rPr>
          <w:bCs/>
          <w:b/>
        </w:rPr>
        <w:t xml:space="preserve">Executive Summary:</w:t>
      </w:r>
      <w:r>
        <w:br/>
      </w:r>
      <w:r>
        <w:t xml:space="preserve">This Case Study examines the critical operational and strategic functions of a Financial Analyst embedded within the economic ecosystem of Germany Frankfurt. It explores how local regulatory frameworks, cultural business norms, and specific market dynamics influence financial reporting, risk assessment, and strategic advisory roles. The document aims to highlight why understanding the unique intersection of global finance principles with German fiscal discipline is essential for success in this pivotal financial hub.</w:t>
      </w:r>
    </w:p>
    <w:bookmarkStart w:id="20" w:name="introduction-the-frankfurt-context"/>
    <w:p>
      <w:pPr>
        <w:pStyle w:val="Heading2"/>
      </w:pPr>
      <w:r>
        <w:t xml:space="preserve">1. Introduction: The Frankfurt Context</w:t>
      </w:r>
    </w:p>
    <w:p>
      <w:pPr>
        <w:pStyle w:val="FirstParagraph"/>
      </w:pPr>
      <w:r>
        <w:t xml:space="preserve">Frankfurt am Main is not merely a city; it is the beating heart of European finance. As the headquarters of the European Central Bank (ECB) and the Deutsche Bundesbank, Germany Frankfurt serves as a regulatory beacon for continental Europe. For any professional operating in this space, particularly a Financial Analyst, being based in or focused on Germany Frankfurt implies navigating one of the most rigorous financial environments in the world.</w:t>
      </w:r>
    </w:p>
    <w:p>
      <w:pPr>
        <w:pStyle w:val="BodyText"/>
      </w:pPr>
      <w:r>
        <w:t xml:space="preserve">In this Case Study, we analyze how a mid-to-senior level Financial Analyst adapts their skill set to meet the demands of institutions located in Germany Frankfurt. The role transcends traditional data crunching; it requires a deep synthesis of quantitative analysis, regulatory compliance knowledge (BaFin/ECB guidelines), and cross-cultural communication skills.</w:t>
      </w:r>
    </w:p>
    <w:bookmarkEnd w:id="20"/>
    <w:bookmarkStart w:id="22" w:name="X75df33e7280c89f6fc52274b7ecff5a099dabc8"/>
    <w:p>
      <w:pPr>
        <w:pStyle w:val="Heading2"/>
      </w:pPr>
      <w:r>
        <w:t xml:space="preserve">2. Company Profile: "EuroBridge Capital Partners"</w:t>
      </w:r>
    </w:p>
    <w:p>
      <w:pPr>
        <w:pStyle w:val="FirstParagraph"/>
      </w:pPr>
      <w:r>
        <w:t xml:space="preserve">To ground this Case Study in reality, we utilize a hypothetical but representative entity: EuroBridge Capital Partners. Based in the banking district of Germany Frankfurt, EuroBridge is an asset management firm specializing in sustainable investment funds (ESG) and cross-border European mergers and acquisitions.</w:t>
      </w:r>
    </w:p>
    <w:bookmarkStart w:id="21" w:name="key-challenges"/>
    <w:p>
      <w:pPr>
        <w:pStyle w:val="Heading3"/>
      </w:pPr>
      <w:r>
        <w:t xml:space="preserve">Key Challenges:</w:t>
      </w:r>
    </w:p>
    <w:p>
      <w:pPr>
        <w:numPr>
          <w:ilvl w:val="0"/>
          <w:numId w:val="1001"/>
        </w:numPr>
        <w:pStyle w:val="Compact"/>
      </w:pPr>
      <w:r>
        <w:rPr>
          <w:bCs/>
          <w:b/>
        </w:rPr>
        <w:t xml:space="preserve">Regulatory Density:</w:t>
      </w:r>
      <w:r>
        <w:t xml:space="preserve"> </w:t>
      </w:r>
      <w:r>
        <w:t xml:space="preserve">Navigating the complex web of German commercial code (HGB) alongside international IFRS standards.</w:t>
      </w:r>
    </w:p>
    <w:p>
      <w:pPr>
        <w:numPr>
          <w:ilvl w:val="0"/>
          <w:numId w:val="1001"/>
        </w:numPr>
        <w:pStyle w:val="Compact"/>
      </w:pPr>
      <w:r>
        <w:t xml:space="preserve">Cultural Precision: The German business culture demands accuracy, detailed documentation, and long-term strategic stability rather than short-term gains.</w:t>
      </w:r>
    </w:p>
    <w:p>
      <w:pPr>
        <w:numPr>
          <w:ilvl w:val="0"/>
          <w:numId w:val="1001"/>
        </w:numPr>
        <w:pStyle w:val="Compact"/>
      </w:pPr>
      <w:r>
        <w:rPr>
          <w:bCs/>
          <w:b/>
        </w:rPr>
        <w:t xml:space="preserve">Data Integration:</w:t>
      </w:r>
      <w:r>
        <w:t xml:space="preserve"> </w:t>
      </w:r>
      <w:r>
        <w:t xml:space="preserve">Integrating real-time market data from the Frankfurt Stock Exchange (FWB) with global macroeconomic indicators.</w:t>
      </w:r>
    </w:p>
    <w:bookmarkEnd w:id="21"/>
    <w:bookmarkEnd w:id="22"/>
    <w:bookmarkStart w:id="26" w:name="Xdb4c5d784ffb938c03c01e9a5fbf26463855c0c"/>
    <w:p>
      <w:pPr>
        <w:pStyle w:val="Heading2"/>
      </w:pPr>
      <w:r>
        <w:t xml:space="preserve">3. The Role of the Financial Analyst in this Ecosystem</w:t>
      </w:r>
    </w:p>
    <w:p>
      <w:pPr>
        <w:pStyle w:val="FirstParagraph"/>
      </w:pPr>
      <w:r>
        <w:t xml:space="preserve">In this Case Study, we focus on "Anna," a Senior Financial Analyst at EuroBridge. Her daily responsibilities and strategic impact illustrate the multifaceted nature of finance in Germany Frankfurt.</w:t>
      </w:r>
    </w:p>
    <w:bookmarkStart w:id="23" w:name="regulatory-compliance-as-a-foundation"/>
    <w:p>
      <w:pPr>
        <w:pStyle w:val="Heading3"/>
      </w:pPr>
      <w:r>
        <w:t xml:space="preserve">3.1 Regulatory Compliance as a Foundation</w:t>
      </w:r>
    </w:p>
    <w:p>
      <w:pPr>
        <w:pStyle w:val="FirstParagraph"/>
      </w:pPr>
      <w:r>
        <w:t xml:space="preserve">In many global markets, compliance is viewed as a secondary checkbox exercise. However, in Germany Frankfurt, it is the bedrock of financial operations. Anna’s first critical task each quarter is ensuring that all financial models adhere to the strict reporting standards mandated by BaFin (Federal Financial Supervisory Authority). The Case Study highlights that a Financial Analyst here must possess not just mathematical proficiency but also legalistic attention to detail. A minor discrepancy in risk-weighted asset calculations can lead to severe penalties, making regulatory literacy as important as Excel proficiency.</w:t>
      </w:r>
    </w:p>
    <w:bookmarkEnd w:id="23"/>
    <w:bookmarkStart w:id="24" w:name="X24166221c6dde57ee261c0215aa78017f02ddb8"/>
    <w:p>
      <w:pPr>
        <w:pStyle w:val="Heading3"/>
      </w:pPr>
      <w:r>
        <w:t xml:space="preserve">3.2 Strategic Forecasting and ESG Integration</w:t>
      </w:r>
    </w:p>
    <w:p>
      <w:pPr>
        <w:pStyle w:val="FirstParagraph"/>
      </w:pPr>
      <w:r>
        <w:t xml:space="preserve">EuroBridge’s mandate is heavily weighted towards Environmental, Social, and Governance (ESG) criteria. Anna’s role involves building complex discounted cash flow (DCF) models that incorporate carbon credit pricing and social impact metrics—variables that are highly specific to the European Green Deal policies adopted in Germany Frankfurt.</w:t>
      </w:r>
    </w:p>
    <w:p>
      <w:pPr>
        <w:pStyle w:val="BodyText"/>
      </w:pPr>
      <w:r>
        <w:rPr>
          <w:bCs/>
          <w:b/>
        </w:rPr>
        <w:t xml:space="preserve">Case Scenario:</w:t>
      </w:r>
      <w:r>
        <w:t xml:space="preserve"> </w:t>
      </w:r>
      <w:r>
        <w:t xml:space="preserve">During the Q3 review, traditional valuation methods failed to account for potential regulatory changes regarding coal-phase-out subsidies in Central Europe. Anna developed a stochastic modeling approach that factored in political risk specific to German and EU legislative timelines. This analysis allowed the CFO to pivot the fund’s strategy, avoiding a 15% projected loss on a major energy sector acquisition.</w:t>
      </w:r>
    </w:p>
    <w:bookmarkEnd w:id="24"/>
    <w:bookmarkStart w:id="25" w:name="cross-border-communication"/>
    <w:p>
      <w:pPr>
        <w:pStyle w:val="Heading3"/>
      </w:pPr>
      <w:r>
        <w:t xml:space="preserve">3.3 Cross-Border Communication</w:t>
      </w:r>
    </w:p>
    <w:p>
      <w:pPr>
        <w:pStyle w:val="FirstParagraph"/>
      </w:pPr>
      <w:r>
        <w:t xml:space="preserve">The team is multinational, comprising analysts from London, New York, and Berlin. The Case Study notes that effective communication in Germany Frankfurt requires "low-context" precision. Ambiguity is discouraged. Anna had to translate complex German tax implications for her US-based stakeholders without oversimplifying the risks. This required a nuanced understanding of both Anglo-Saxon financial brevity and German fiscal thoroughness.</w:t>
      </w:r>
    </w:p>
    <w:bookmarkEnd w:id="25"/>
    <w:bookmarkEnd w:id="26"/>
    <w:bookmarkStart w:id="27" w:name="methodology-analytical-frameworks-used"/>
    <w:p>
      <w:pPr>
        <w:pStyle w:val="Heading2"/>
      </w:pPr>
      <w:r>
        <w:t xml:space="preserve">4. Methodology: Analytical Frameworks Used</w:t>
      </w:r>
    </w:p>
    <w:p>
      <w:pPr>
        <w:pStyle w:val="FirstParagraph"/>
      </w:pPr>
      <w:r>
        <w:t xml:space="preserve">To succeed in Germany Frankfurt, the Financial Analyst employs a hybrid analytical framework:</w:t>
      </w:r>
    </w:p>
    <w:p>
      <w:pPr>
        <w:numPr>
          <w:ilvl w:val="0"/>
          <w:numId w:val="1002"/>
        </w:numPr>
        <w:pStyle w:val="Compact"/>
      </w:pPr>
      <w:r>
        <w:rPr>
          <w:bCs/>
          <w:b/>
        </w:rPr>
        <w:t xml:space="preserve">Solvency Ratio Analysis (HGB vs. IFRS):</w:t>
      </w:r>
      <w:r>
        <w:t xml:space="preserve"> </w:t>
      </w:r>
      <w:r>
        <w:t xml:space="preserve">Constantly reconciling German GAAP with International Financial Reporting Standards to ensure global investor confidence.</w:t>
      </w:r>
    </w:p>
    <w:p>
      <w:pPr>
        <w:numPr>
          <w:ilvl w:val="0"/>
          <w:numId w:val="1002"/>
        </w:numPr>
        <w:pStyle w:val="Compact"/>
      </w:pPr>
      <w:r>
        <w:rPr>
          <w:bCs/>
          <w:b/>
        </w:rPr>
        <w:t xml:space="preserve">Sensitivity Analysis:</w:t>
      </w:r>
      <w:r>
        <w:t xml:space="preserve"> </w:t>
      </w:r>
      <w:r>
        <w:t xml:space="preserve">Stress-testing portfolios against fluctuations in the Euro/Dollar exchange rate and interest rate hikes by the ECB, which directly impacts the cost of capital in Germany Frankfurt.</w:t>
      </w:r>
    </w:p>
    <w:p>
      <w:pPr>
        <w:numPr>
          <w:ilvl w:val="0"/>
          <w:numId w:val="1002"/>
        </w:numPr>
        <w:pStyle w:val="Compact"/>
      </w:pPr>
      <w:r>
        <w:rPr>
          <w:bCs/>
          <w:b/>
        </w:rPr>
        <w:t xml:space="preserve">Credit Risk Modeling:</w:t>
      </w:r>
      <w:r>
        <w:t xml:space="preserve"> </w:t>
      </w:r>
      <w:r>
        <w:t xml:space="preserve">Utilizing Basel III/IV frameworks to assess counterparty risk, a critical metric for any bank operating out of this hub.</w:t>
      </w:r>
    </w:p>
    <w:bookmarkEnd w:id="27"/>
    <w:bookmarkStart w:id="28" w:name="challenges-and-solutions"/>
    <w:p>
      <w:pPr>
        <w:pStyle w:val="Heading2"/>
      </w:pPr>
      <w:r>
        <w:t xml:space="preserve">5. Challenges and Solutions</w:t>
      </w:r>
    </w:p>
    <w:p>
      <w:pPr>
        <w:pStyle w:val="FirstParagraph"/>
      </w:pPr>
      <w:r>
        <w:rPr>
          <w:bCs/>
          <w:b/>
        </w:rPr>
        <w:t xml:space="preserve">Challenge 1: Data Silos and Legacy Systems.</w:t>
      </w:r>
      <w:r>
        <w:t xml:space="preserve"> </w:t>
      </w:r>
      <w:r>
        <w:t xml:space="preserve">Many older institutions in Germany Frankfurt still rely on legacy mainframe systems. Integrating these with modern Python-based analytics tools proved difficult for the analyst team.</w:t>
      </w:r>
    </w:p>
    <w:p>
      <w:pPr>
        <w:pStyle w:val="BodyText"/>
      </w:pPr>
      <w:r>
        <w:rPr>
          <w:iCs/>
          <w:i/>
        </w:rPr>
        <w:t xml:space="preserve">Solution:</w:t>
      </w:r>
      <w:r>
        <w:t xml:space="preserve"> </w:t>
      </w:r>
      <w:r>
        <w:t xml:space="preserve">The Financial Analyst led a digital transformation initiative, creating API bridges that allowed real-time data extraction from legacy systems into cloud-based analytics dashboards, improving reporting time by 40%.</w:t>
      </w:r>
    </w:p>
    <w:p>
      <w:pPr>
        <w:pStyle w:val="BodyText"/>
      </w:pPr>
      <w:r>
        <w:rPr>
          <w:bCs/>
          <w:b/>
        </w:rPr>
        <w:t xml:space="preserve">Challenge 2: Cultural Resistance to Change.</w:t>
      </w:r>
      <w:r>
        <w:t xml:space="preserve"> </w:t>
      </w:r>
      <w:r>
        <w:t xml:space="preserve">Senior management in Germany Frankfurt often preferred conservative, historically validated methods over innovative predictive modeling.</w:t>
      </w:r>
    </w:p>
    <w:p>
      <w:pPr>
        <w:pStyle w:val="BodyText"/>
      </w:pPr>
      <w:r>
        <w:rPr>
          <w:iCs/>
          <w:i/>
        </w:rPr>
        <w:t xml:space="preserve">Solution:</w:t>
      </w:r>
      <w:r>
        <w:t xml:space="preserve"> </w:t>
      </w:r>
      <w:r>
        <w:t xml:space="preserve">Anna adopted a "show, don't just tell" approach. By running parallel analyses (traditional vs. AI-driven) and demonstrating the superior accuracy of the new models during past market downturns, she built trust and facilitated adoption of new technologies.</w:t>
      </w:r>
    </w:p>
    <w:bookmarkEnd w:id="28"/>
    <w:bookmarkStart w:id="29" w:name="outcomes-and-impact"/>
    <w:p>
      <w:pPr>
        <w:pStyle w:val="Heading2"/>
      </w:pPr>
      <w:r>
        <w:t xml:space="preserve">6. Outcomes and Impact</w:t>
      </w:r>
    </w:p>
    <w:p>
      <w:pPr>
        <w:pStyle w:val="FirstParagraph"/>
      </w:pPr>
      <w:r>
        <w:t xml:space="preserve">The implementation of these enhanced analytical protocols resulted in tangible benefits for EuroBridge Capital Partners:</w:t>
      </w:r>
    </w:p>
    <w:p>
      <w:pPr>
        <w:numPr>
          <w:ilvl w:val="0"/>
          <w:numId w:val="1003"/>
        </w:numPr>
        <w:pStyle w:val="Compact"/>
      </w:pPr>
      <w:r>
        <w:rPr>
          <w:bCs/>
          <w:b/>
        </w:rPr>
        <w:t xml:space="preserve">Risk Mitigation:</w:t>
      </w:r>
      <w:r>
        <w:t xml:space="preserve"> </w:t>
      </w:r>
      <w:r>
        <w:t xml:space="preserve">A 20% reduction in unexpected variance in quarterly earnings due to better regulatory foresight.</w:t>
      </w:r>
    </w:p>
    <w:p>
      <w:pPr>
        <w:numPr>
          <w:ilvl w:val="0"/>
          <w:numId w:val="1003"/>
        </w:numPr>
        <w:pStyle w:val="Compact"/>
      </w:pPr>
      <w:r>
        <w:rPr>
          <w:bCs/>
          <w:b/>
        </w:rPr>
        <w:t xml:space="preserve">Investor Confidence:</w:t>
      </w:r>
      <w:r>
        <w:t xml:space="preserve"> </w:t>
      </w:r>
      <w:r>
        <w:t xml:space="preserve">Transparency reports became more detailed, attracting larger institutional investors from Asia and the US who value German-style fiscal discipline.</w:t>
      </w:r>
    </w:p>
    <w:p>
      <w:pPr>
        <w:numPr>
          <w:ilvl w:val="0"/>
          <w:numId w:val="1003"/>
        </w:numPr>
        <w:pStyle w:val="Compact"/>
      </w:pPr>
      <w:r>
        <w:rPr>
          <w:bCs/>
          <w:b/>
        </w:rPr>
        <w:t xml:space="preserve">Career Development:</w:t>
      </w:r>
      <w:r>
        <w:t xml:space="preserve"> </w:t>
      </w:r>
      <w:r>
        <w:t xml:space="preserve">The Financial Analyst role evolved from a back-office support function to a strategic partner in investment decision-making, highlighting the growing importance of analytical depth in Germany Frankfurt.</w:t>
      </w:r>
    </w:p>
    <w:bookmarkEnd w:id="29"/>
    <w:bookmarkStart w:id="30" w:name="conclusion"/>
    <w:p>
      <w:pPr>
        <w:pStyle w:val="Heading2"/>
      </w:pPr>
      <w:r>
        <w:t xml:space="preserve">7. Conclusion</w:t>
      </w:r>
    </w:p>
    <w:p>
      <w:pPr>
        <w:pStyle w:val="FirstParagraph"/>
      </w:pPr>
      <w:r>
        <w:t xml:space="preserve">This Case Study demonstrates that the position of a Financial Analyst in Germany Frankfurt is uniquely demanding yet profoundly rewarding. It requires more than just numerical acumen; it demands a holistic understanding of regulatory law, European macroeconomic trends, and cross-cultural management.</w:t>
      </w:r>
    </w:p>
    <w:p>
      <w:pPr>
        <w:pStyle w:val="BodyText"/>
      </w:pPr>
      <w:r>
        <w:t xml:space="preserve">Success in this role hinges on the ability to blend international financial standards with local German precision. For organizations aiming to thrive in the competitive landscape of Germany Frankfurt, investing in Financial Analysts who possess this dual competency is not merely an operational necessity but a strategic imperative. The future of finance in this hub belongs to those who can navigate the complex intersection of data, regulation, and human capital.</w:t>
      </w:r>
    </w:p>
    <w:p>
      <w:r>
        <w:pict>
          <v:rect style="width:0;height:1.5pt" o:hralign="center" o:hrstd="t" o:hr="t"/>
        </w:pict>
      </w:r>
    </w:p>
    <w:p>
      <w:pPr>
        <w:pStyle w:val="FirstParagraph"/>
      </w:pPr>
      <w:r>
        <w:rPr>
          <w:iCs/>
          <w:i/>
        </w:rPr>
        <w:t xml:space="preserve">Disclaimer: This Case Study is for educational purposes only. All company names and specific personnel are fictionalized for illustrative purposes regarding the role of a Financial Analyst in Germany Frankfurt.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Germany Frankfurt</dc:title>
  <dc:creator/>
  <dc:language>en</dc:language>
  <cp:keywords/>
  <dcterms:created xsi:type="dcterms:W3CDTF">2026-07-29T09:27:06Z</dcterms:created>
  <dcterms:modified xsi:type="dcterms:W3CDTF">2026-07-29T09:27:06Z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