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Indonesia</w:t>
      </w:r>
      <w:r>
        <w:t xml:space="preserve"> </w:t>
      </w:r>
      <w:r>
        <w:t xml:space="preserve">Jakarta</w:t>
      </w:r>
    </w:p>
    <w:bookmarkStart w:id="32" w:name="Xf7586372167dfc6c0da0853ed948751d4e58323"/>
    <w:p>
      <w:pPr>
        <w:pStyle w:val="Heading1"/>
      </w:pPr>
      <w:r>
        <w:t xml:space="preserve">Case Study: Navigating the Complex Financial Landscape in Indonesia Jakarta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Jurisdiction Focus:</w:t>
      </w:r>
    </w:p>
    <w:bookmarkStart w:id="20" w:name="executive-summary"/>
    <w:p>
      <w:pPr>
        <w:pStyle w:val="Heading2"/>
      </w:pPr>
      <w:r>
        <w:t xml:space="preserve">1. Executive Summary</w:t>
      </w:r>
    </w:p>
    <w:p>
      <w:pPr>
        <w:pStyle w:val="FirstParagraph"/>
      </w:pPr>
      <w:r>
        <w:t xml:space="preserve">This case study examines the critical role, challenges, and opportunities faced by a Financial Analyst operating within the dynamic economic environment of Indonesia Jakarta. As one of Southeast Asia’s largest economies, Indonesia presents unique fiscal complexities driven by regulatory shifts, digital transformation, and cultural business practices specific to its capital city. This document analyzes how a mid-level Financial Analyst successfully navigated these hurdles to drive strategic decision-making for a multinational manufacturing firm with headquarters in Indonesia Jakarta.</w:t>
      </w:r>
    </w:p>
    <w:bookmarkEnd w:id="20"/>
    <w:bookmarkStart w:id="21" w:name="company-background-and-context"/>
    <w:p>
      <w:pPr>
        <w:pStyle w:val="Heading2"/>
      </w:pPr>
      <w:r>
        <w:t xml:space="preserve">2. Company Background and Context</w:t>
      </w:r>
    </w:p>
    <w:p>
      <w:pPr>
        <w:pStyle w:val="FirstParagraph"/>
      </w:pPr>
      <w:r>
        <w:t xml:space="preserve">The subject company, referred to here as "PT Maju Bersama," is a subsidiary of a global technology hardware manufacturer. The company operates primarily out of Indonesia Jakarta, managing both local distribution networks and export operations across the ASEAN region. Despite its international backing, PT Maju Bersama relies heavily on understanding the local Indonesian market nuances to remain competitive.</w:t>
      </w:r>
    </w:p>
    <w:p>
      <w:pPr>
        <w:pStyle w:val="BodyText"/>
      </w:pPr>
      <w:r>
        <w:t xml:space="preserve">The primary objective of this case study is to illustrate how a Financial Analyst in this setting must transcend traditional number-crunching duties. In Indonesia Jakarta, the role requires deep integration with local regulatory frameworks, such as those enforced by the Directorate General of Taxes (DJP), and an acute sensitivity to currency fluctuations involving the Indonesian Rupiah (IDR).</w:t>
      </w:r>
    </w:p>
    <w:bookmarkEnd w:id="21"/>
    <w:bookmarkStart w:id="23" w:name="X071f1495a2472510b8c352245fcc4a99154b3a6"/>
    <w:p>
      <w:pPr>
        <w:pStyle w:val="Heading2"/>
      </w:pPr>
      <w:r>
        <w:t xml:space="preserve">3. The Role of the Financial Analyst in Indonesia Jakarta</w:t>
      </w:r>
    </w:p>
    <w:p>
      <w:pPr>
        <w:pStyle w:val="FirstParagraph"/>
      </w:pPr>
      <w:r>
        <w:t xml:space="preserve">In many Western markets, a Financial Analyst may focus predominantly on forecasting and variance analysis. However, in Indonesia Jakarta, the scope is significantly broader due to several local factors:</w:t>
      </w:r>
    </w:p>
    <w:p>
      <w:pPr>
        <w:numPr>
          <w:ilvl w:val="0"/>
          <w:numId w:val="1001"/>
        </w:numPr>
        <w:pStyle w:val="Compact"/>
      </w:pPr>
      <w:r>
        <w:rPr>
          <w:bCs/>
          <w:b/>
        </w:rPr>
        <w:t xml:space="preserve">Regulatory Compliance:</w:t>
      </w:r>
      <w:r>
        <w:t xml:space="preserve">The financial landscape in Indonesia is governed by specific standards (PSAK - Standards of Accounting) which differ from IFRS in certain areas. A Financial Analyst must ensure that all reporting aligns with both local tax laws and international parent company requirements.</w:t>
      </w:r>
    </w:p>
    <w:p>
      <w:pPr>
        <w:numPr>
          <w:ilvl w:val="0"/>
          <w:numId w:val="1001"/>
        </w:numPr>
        <w:pStyle w:val="Compact"/>
      </w:pPr>
      <w:r>
        <w:rPr>
          <w:bCs/>
          <w:b/>
        </w:rPr>
        <w:t xml:space="preserve">Currency Volatility:</w:t>
      </w:r>
      <w:r>
        <w:t xml:space="preserve"> </w:t>
      </w:r>
      <w:r>
        <w:t xml:space="preserve">The IDR often experiences significant volatility against the USD and SGD. An analyst must continuously monitor exchange rates to hedge risks effectively, a task that is particularly acute for a business operating out of Indonesia Jakarta where import costs are high.</w:t>
      </w:r>
    </w:p>
    <w:p>
      <w:pPr>
        <w:numPr>
          <w:ilvl w:val="0"/>
          <w:numId w:val="1001"/>
        </w:numPr>
        <w:pStyle w:val="Compact"/>
      </w:pPr>
      <w:r>
        <w:rPr>
          <w:bCs/>
          <w:b/>
        </w:rPr>
        <w:t xml:space="preserve">Bureaucratic Navigation:</w:t>
      </w:r>
      <w:r>
        <w:t xml:space="preserve"> </w:t>
      </w:r>
      <w:r>
        <w:t xml:space="preserve">Dealing with local government agencies, such as the Badan Koordinasi Penanaman Modal (BKPM) for investment incentives, requires patience and precise financial documentation. The Financial Analyst serves as the bridge between technical accounting data and bureaucratic requirements.</w:t>
      </w:r>
    </w:p>
    <w:bookmarkStart w:id="22" w:name="key-challenge-identified"/>
    <w:p>
      <w:pPr>
        <w:pStyle w:val="Heading3"/>
      </w:pPr>
      <w:r>
        <w:t xml:space="preserve">Key Challenge Identified</w:t>
      </w:r>
    </w:p>
    <w:p>
      <w:pPr>
        <w:pStyle w:val="FirstParagraph"/>
      </w:pPr>
      <w:r>
        <w:t xml:space="preserve">The primary challenge faced by our subject, identified as "Analyst Rina," was the integration of real-time financial data with legacy systems that did not automatically comply with the latest Indonesian tax reporting standards. This discrepancy led to potential compliance risks and delayed decision-making for senior management in Indonesia Jakarta.</w:t>
      </w:r>
    </w:p>
    <w:bookmarkEnd w:id="22"/>
    <w:bookmarkEnd w:id="23"/>
    <w:bookmarkStart w:id="24" w:name="problem-statement"/>
    <w:p>
      <w:pPr>
        <w:pStyle w:val="Heading2"/>
      </w:pPr>
      <w:r>
        <w:t xml:space="preserve">4. Problem Statement</w:t>
      </w:r>
    </w:p>
    <w:p>
      <w:pPr>
        <w:pStyle w:val="FirstParagraph"/>
      </w:pPr>
      <w:r>
        <w:t xml:space="preserve">In Q3 2022, PT Maju Bersama experienced a significant discrepancy between its projected cash flow and actual expenditures. This was largely due to unanticipated changes in local value-added tax (VAT) interpretations and supply chain disruptions specific to the Java island logistics network centered in Indonesia Jakarta. The existing Financial Analyst role was siloed, meaning that the person handling treasury functions did not communicate effectively with the cost accounting team.</w:t>
      </w:r>
    </w:p>
    <w:p>
      <w:pPr>
        <w:pStyle w:val="BodyText"/>
      </w:pPr>
      <w:r>
        <w:t xml:space="preserve">The problem was not merely technical but also cultural and structural. The hierarchical nature of Indonesian business culture often discouraged junior staff from flagging discrepancies to senior management immediately. Consequently, financial insights were delayed, impacting the company’s ability to pivot strategies quickly in a fast-moving market.</w:t>
      </w:r>
    </w:p>
    <w:bookmarkEnd w:id="24"/>
    <w:bookmarkStart w:id="28" w:name="methodology-and-intervention"/>
    <w:p>
      <w:pPr>
        <w:pStyle w:val="Heading2"/>
      </w:pPr>
      <w:r>
        <w:t xml:space="preserve">5. Methodology and Intervention</w:t>
      </w:r>
    </w:p>
    <w:p>
      <w:pPr>
        <w:pStyle w:val="FirstParagraph"/>
      </w:pPr>
      <w:r>
        <w:t xml:space="preserve">To address these issues, a new approach was implemented focusing on three pillars: Integration, Education, and Localization.</w:t>
      </w:r>
    </w:p>
    <w:bookmarkStart w:id="25" w:name="X3606d0b1092a55223324a15299dcbe30be8c883"/>
    <w:p>
      <w:pPr>
        <w:pStyle w:val="Heading3"/>
      </w:pPr>
      <w:r>
        <w:t xml:space="preserve">A. System Integration for Indonesia Jakarta Context</w:t>
      </w:r>
    </w:p>
    <w:p>
      <w:pPr>
        <w:pStyle w:val="FirstParagraph"/>
      </w:pPr>
      <w:r>
        <w:t xml:space="preserve">The Financial Analyst team upgraded their ERP systems to include modules specifically designed for Indonesian tax compliance. This involved configuring the software to automatically calculate withholding taxes and VAT according to the latest regulations issued by the Ministry of Finance in Jakarta. By automating these checks, the risk of human error was significantly reduced.</w:t>
      </w:r>
    </w:p>
    <w:bookmarkEnd w:id="25"/>
    <w:bookmarkStart w:id="26" w:name="b.-cross-functional-training"/>
    <w:p>
      <w:pPr>
        <w:pStyle w:val="Heading3"/>
      </w:pPr>
      <w:r>
        <w:t xml:space="preserve">B. Cross-Functional Training</w:t>
      </w:r>
    </w:p>
    <w:p>
      <w:pPr>
        <w:pStyle w:val="FirstParagraph"/>
      </w:pPr>
      <w:r>
        <w:t xml:space="preserve">A workshop series was conducted specifically for Financial Analysts in Indonesia Jakarta, focusing on breaking down silos. The training emphasized the importance of open communication channels that respected local hierarchy while encouraging proactive problem-solving. Analysts were taught to use data visualization tools to present complex financial risks in a way that was accessible to non-financial stakeholders.</w:t>
      </w:r>
    </w:p>
    <w:bookmarkEnd w:id="26"/>
    <w:bookmarkStart w:id="27" w:name="c.-enhanced-risk-management-framework"/>
    <w:p>
      <w:pPr>
        <w:pStyle w:val="Heading3"/>
      </w:pPr>
      <w:r>
        <w:t xml:space="preserve">C. Enhanced Risk Management Framework</w:t>
      </w:r>
    </w:p>
    <w:p>
      <w:pPr>
        <w:pStyle w:val="FirstParagraph"/>
      </w:pPr>
      <w:r>
        <w:t xml:space="preserve">A new hedging strategy was developed by the Financial Analyst unit, leveraging local banking partners in Indonesia Jakarta who offered more favorable terms for IDR/USD swaps. This required a deeper understanding of the Bank Indonesia (BI) interest rate policies and their impact on corporate borrowing costs.</w:t>
      </w:r>
    </w:p>
    <w:bookmarkEnd w:id="27"/>
    <w:bookmarkEnd w:id="28"/>
    <w:bookmarkStart w:id="29" w:name="results-and-impact"/>
    <w:p>
      <w:pPr>
        <w:pStyle w:val="Heading2"/>
      </w:pPr>
      <w:r>
        <w:t xml:space="preserve">6. Results and Impact</w:t>
      </w:r>
    </w:p>
    <w:p>
      <w:pPr>
        <w:pStyle w:val="FirstParagraph"/>
      </w:pPr>
      <w:r>
        <w:t xml:space="preserve">The interventions yielded measurable improvements within six months:</w:t>
      </w:r>
    </w:p>
    <w:p>
      <w:pPr>
        <w:numPr>
          <w:ilvl w:val="0"/>
          <w:numId w:val="1002"/>
        </w:numPr>
        <w:pStyle w:val="Compact"/>
      </w:pPr>
      <w:r>
        <w:rPr>
          <w:bCs/>
          <w:b/>
        </w:rPr>
        <w:t xml:space="preserve">Cash Flow Visibility:</w:t>
      </w:r>
      <w:r>
        <w:t xml:space="preserve">The accuracy of cash flow forecasting improved by 35%. This allowed senior management in Indonesia Jakarta to make more confident investment decisions.</w:t>
      </w:r>
    </w:p>
    <w:p>
      <w:pPr>
        <w:numPr>
          <w:ilvl w:val="0"/>
          <w:numId w:val="1002"/>
        </w:numPr>
        <w:pStyle w:val="Compact"/>
      </w:pPr>
      <w:r>
        <w:rPr>
          <w:bCs/>
          <w:b/>
        </w:rPr>
        <w:t xml:space="preserve">Compliance Efficiency:</w:t>
      </w:r>
      <w:r>
        <w:t xml:space="preserve">Audit findings related to tax discrepancies dropped by 90%. The automated systems ensured that all reports submitted to the Directorate General of Taxes were accurate and timely.</w:t>
      </w:r>
    </w:p>
    <w:p>
      <w:pPr>
        <w:numPr>
          <w:ilvl w:val="0"/>
          <w:numId w:val="1002"/>
        </w:numPr>
        <w:pStyle w:val="Compact"/>
      </w:pPr>
      <w:r>
        <w:rPr>
          <w:bCs/>
          <w:b/>
        </w:rPr>
        <w:t xml:space="preserve">Currency Loss Mitigation:</w:t>
      </w:r>
      <w:r>
        <w:t xml:space="preserve">By optimizing hedging strategies, the company saved approximately $150,000 USD in potential foreign exchange losses during a period of high IDR volatility.</w:t>
      </w:r>
    </w:p>
    <w:p>
      <w:pPr>
        <w:numPr>
          <w:ilvl w:val="0"/>
          <w:numId w:val="1002"/>
        </w:numPr>
        <w:pStyle w:val="Compact"/>
      </w:pPr>
      <w:r>
        <w:rPr>
          <w:bCs/>
          <w:b/>
        </w:rPr>
        <w:t xml:space="preserve">Cultural Shift:</w:t>
      </w:r>
      <w:r>
        <w:t xml:space="preserve">A more open communication culture emerged. Junior Financial Analysts felt empowered to flag issues early, leading to faster resolution times for operational bottlenecks specific to the Jakarta logistics hub.</w:t>
      </w:r>
    </w:p>
    <w:bookmarkEnd w:id="29"/>
    <w:bookmarkStart w:id="30" w:name="Xc62d42edcf37c1fc9f443651e9b461d141bbcbe"/>
    <w:p>
      <w:pPr>
        <w:pStyle w:val="Heading2"/>
      </w:pPr>
      <w:r>
        <w:t xml:space="preserve">7. Discussion: Lessons for Financial Analysts in Indonesia Jakarta</w:t>
      </w:r>
    </w:p>
    <w:p>
      <w:pPr>
        <w:pStyle w:val="FirstParagraph"/>
      </w:pPr>
      <w:r>
        <w:t xml:space="preserve">This case study highlights that being a Financial Analyst in Indonesia Jakarta is not just about mastering Excel or SQL; it requires a holistic understanding of the local economic ecosystem. The following lessons are critical for practitioners:</w:t>
      </w:r>
    </w:p>
    <w:p>
      <w:pPr>
        <w:numPr>
          <w:ilvl w:val="0"/>
          <w:numId w:val="1003"/>
        </w:numPr>
        <w:pStyle w:val="Compact"/>
      </w:pPr>
      <w:r>
        <w:rPr>
          <w:bCs/>
          <w:b/>
        </w:rPr>
        <w:t xml:space="preserve">Localize Your Tools:</w:t>
      </w:r>
      <w:r>
        <w:t xml:space="preserve">Global software solutions must often be adapted to fit Indonesian regulatory realities. A one-size-fits-all approach rarely works in Indonesia Jakarta.</w:t>
      </w:r>
    </w:p>
    <w:p>
      <w:pPr>
        <w:numPr>
          <w:ilvl w:val="0"/>
          <w:numId w:val="1003"/>
        </w:numPr>
        <w:pStyle w:val="Compact"/>
      </w:pPr>
      <w:r>
        <w:rPr>
          <w:bCs/>
          <w:b/>
        </w:rPr>
        <w:t xml:space="preserve">Navigate Culture with Care:</w:t>
      </w:r>
      <w:r>
        <w:t xml:space="preserve">The concept of "saving face" and respecting hierarchy is prevalent. Financial Analysts must learn to deliver bad news or highlight errors diplomatically to ensure compliance without causing organizational friction.</w:t>
      </w:r>
    </w:p>
    <w:p>
      <w:pPr>
        <w:numPr>
          <w:ilvl w:val="0"/>
          <w:numId w:val="1003"/>
        </w:numPr>
        <w:pStyle w:val="Compact"/>
      </w:pPr>
      <w:r>
        <w:rPr>
          <w:bCs/>
          <w:b/>
        </w:rPr>
        <w:t xml:space="preserve">Stay Ahead of Regulatory Changes:</w:t>
      </w:r>
      <w:r>
        <w:t xml:space="preserve">The Indonesian government frequently updates tax and labor laws. A proactive Financial Analyst continuously monitors these changes through local industry associations and legal updates rather than waiting for annual audits.</w:t>
      </w:r>
    </w:p>
    <w:bookmarkEnd w:id="30"/>
    <w:bookmarkStart w:id="31" w:name="conclusion"/>
    <w:p>
      <w:pPr>
        <w:pStyle w:val="Heading2"/>
      </w:pPr>
      <w:r>
        <w:t xml:space="preserve">8. Conclusion</w:t>
      </w:r>
    </w:p>
    <w:p>
      <w:pPr>
        <w:pStyle w:val="FirstParagraph"/>
      </w:pPr>
      <w:r>
        <w:t xml:space="preserve">The role of the Financial Analyst in Indonesia Jakarta is evolving from a back-office support function to a strategic partner essential for business resilience. As demonstrated by the case of PT Maju Bersama, success depends on combining technical financial expertise with cultural intelligence and regulatory agility. For organizations operating in this vibrant market, investing in robust analytical frameworks that respect local nuances is not optional—it is imperative for sustained growth and compliance.</w:t>
      </w:r>
    </w:p>
    <w:p>
      <w:pPr>
        <w:pStyle w:val="BodyText"/>
      </w:pPr>
      <w:r>
        <w:t xml:space="preserve">This case study serves as a blueprint for other multinational corporations looking to optimize their financial operations within the Indonesian context. By empowering Financial Analysts with the right tools and cultural training, companies can unlock significant value and mitigate risks inherent in the Indonesia Jakarta market.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Financial Analyst in Indonesia Jakarta</dc:title>
  <dc:creator/>
  <dc:language>en</dc:language>
  <cp:keywords/>
  <dcterms:created xsi:type="dcterms:W3CDTF">2026-07-29T14:42:03Z</dcterms:created>
  <dcterms:modified xsi:type="dcterms:W3CDTF">2026-07-29T14:42:03Z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