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bookmarkStart w:id="34" w:name="X88c42560daaebdf7bc5d66ecccc7f6fc55b2bd6"/>
    <w:p>
      <w:pPr>
        <w:pStyle w:val="Heading1"/>
      </w:pPr>
      <w:r>
        <w:t xml:space="preserve">The Strategic Imperative of the Financial Analyst in Mexico City</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Mexico City, Mexico</w:t>
      </w:r>
      <w:r>
        <w:br/>
      </w:r>
      <w:r>
        <w:rPr>
          <w:bCs/>
          <w:b/>
        </w:rPr>
        <w:t xml:space="preserve">Status:</w:t>
      </w:r>
    </w:p>
    <w:bookmarkStart w:id="20" w:name="executive-summary"/>
    <w:p>
      <w:pPr>
        <w:pStyle w:val="Heading2"/>
      </w:pPr>
      <w:r>
        <w:t xml:space="preserve">Executive Summary</w:t>
      </w:r>
    </w:p>
    <w:p>
      <w:pPr>
        <w:pStyle w:val="FirstParagraph"/>
      </w:pPr>
      <w:r>
        <w:t xml:space="preserve">Mexico City (Ciudad de México), often referred to as CDMX, stands as the economic heartbeat of Latin America. As the headquarters for over half of Mexico’s corporate sector, it presents a unique and complex landscape for financial management. This case study examines the critical role of the</w:t>
      </w:r>
      <w:r>
        <w:t xml:space="preserve"> </w:t>
      </w:r>
      <w:r>
        <w:rPr>
          <w:bCs/>
          <w:b/>
        </w:rPr>
        <w:t xml:space="preserve">Financial Analyst</w:t>
      </w:r>
      <w:r>
        <w:t xml:space="preserve"> </w:t>
      </w:r>
      <w:r>
        <w:t xml:space="preserve">within this dynamic environment. It explores how professionals in Mexico City navigate macroeconomic volatility, regulatory changes, and digital transformation to drive corporate value.</w:t>
      </w:r>
    </w:p>
    <w:bookmarkEnd w:id="20"/>
    <w:bookmarkStart w:id="21" w:name="the-economic-context-of-mexico-city"/>
    <w:p>
      <w:pPr>
        <w:pStyle w:val="Heading2"/>
      </w:pPr>
      <w:r>
        <w:t xml:space="preserve">The Economic Context of Mexico City</w:t>
      </w:r>
    </w:p>
    <w:p>
      <w:pPr>
        <w:pStyle w:val="FirstParagraph"/>
      </w:pPr>
      <w:r>
        <w:t xml:space="preserve">To understand the function of a</w:t>
      </w:r>
      <w:r>
        <w:t xml:space="preserve"> </w:t>
      </w:r>
      <w:r>
        <w:rPr>
          <w:bCs/>
          <w:b/>
        </w:rPr>
        <w:t xml:space="preserve">Financial Analyst</w:t>
      </w:r>
      <w:r>
        <w:t xml:space="preserve">, one must first appreciate the specific context of their operating ground: Mexico City. The city is not merely a geographic location but a dense ecosystem of commerce, government regulation, and cultural nuance. With a metropolitan population exceeding 21 million people, it offers immense market potential but also introduces significant operational risks.</w:t>
      </w:r>
    </w:p>
    <w:p>
      <w:pPr>
        <w:pStyle w:val="BodyText"/>
      </w:pPr>
      <w:r>
        <w:t xml:space="preserve">Key factors influencing the financial landscape in Mexico City include:</w:t>
      </w:r>
    </w:p>
    <w:p>
      <w:pPr>
        <w:numPr>
          <w:ilvl w:val="0"/>
          <w:numId w:val="1001"/>
        </w:numPr>
        <w:pStyle w:val="Compact"/>
      </w:pPr>
      <w:r>
        <w:rPr>
          <w:bCs/>
          <w:b/>
        </w:rPr>
        <w:t xml:space="preserve">Currency Volatility:</w:t>
      </w:r>
      <w:r>
        <w:t xml:space="preserve"> </w:t>
      </w:r>
      <w:hyperlink w:anchor="footnote1"/>
      <w:r>
        <w:t xml:space="preserve"> </w:t>
      </w:r>
      <w:r>
        <w:t xml:space="preserve">The Mexican Peso (MXN) fluctuates significantly against the US Dollar, requiring robust hedging strategies.</w:t>
      </w:r>
    </w:p>
    <w:p>
      <w:pPr>
        <w:numPr>
          <w:ilvl w:val="0"/>
          <w:numId w:val="1001"/>
        </w:numPr>
        <w:pStyle w:val="Compact"/>
      </w:pPr>
      <w:r>
        <w:rPr>
          <w:bCs/>
          <w:b/>
        </w:rPr>
        <w:t xml:space="preserve">Inflationary Pressures:</w:t>
      </w:r>
      <w:r>
        <w:t xml:space="preserve"> </w:t>
      </w:r>
      <w:hyperlink w:anchor="footnote2"/>
      <w:r>
        <w:t xml:space="preserve"> </w:t>
      </w:r>
      <w:r>
        <w:t xml:space="preserve">Recent years have seen inflation rates impacting consumer purchasing power and corporate cost structures.</w:t>
      </w:r>
    </w:p>
    <w:p>
      <w:pPr>
        <w:numPr>
          <w:ilvl w:val="0"/>
          <w:numId w:val="1001"/>
        </w:numPr>
        <w:pStyle w:val="Compact"/>
      </w:pPr>
      <w:r>
        <w:rPr>
          <w:bCs/>
          <w:b/>
        </w:rPr>
        <w:t xml:space="preserve">Nearshoring Trends:</w:t>
      </w:r>
      <w:r>
        <w:t xml:space="preserve"> </w:t>
      </w:r>
      <w:hyperlink w:anchor="footnote3"/>
      <w:r>
        <w:t xml:space="preserve"> </w:t>
      </w:r>
      <w:r>
        <w:t xml:space="preserve">The global shift towards manufacturing closer to the US has intensified competition for talent and capital in Mexico City.</w:t>
      </w:r>
    </w:p>
    <w:bookmarkEnd w:id="21"/>
    <w:bookmarkStart w:id="23" w:name="Xc43f794d6e6ab88070a3dc70ff4936d6ea616d8"/>
    <w:p>
      <w:pPr>
        <w:pStyle w:val="Heading2"/>
      </w:pPr>
      <w:r>
        <w:t xml:space="preserve">The Profile of a Modern Financial Analyst</w:t>
      </w:r>
    </w:p>
    <w:p>
      <w:pPr>
        <w:pStyle w:val="FirstParagraph"/>
      </w:pPr>
      <w:r>
        <w:t xml:space="preserve">In this high-stakes environment, the traditional role of the</w:t>
      </w:r>
      <w:r>
        <w:t xml:space="preserve"> </w:t>
      </w:r>
      <w:r>
        <w:rPr>
          <w:bCs/>
          <w:b/>
        </w:rPr>
        <w:t xml:space="preserve">Financial Analyst</w:t>
      </w:r>
      <w:r>
        <w:t xml:space="preserve"> </w:t>
      </w:r>
      <w:r>
        <w:t xml:space="preserve">has evolved. They are no longer just number-crunchers; they are strategic partners. The modern analyst in Mexico City must possess a hybrid skill set combining technical financial acumen with soft skills such as negotiation and cross-cultural communication.</w:t>
      </w:r>
    </w:p>
    <w:bookmarkStart w:id="22" w:name="core-responsibilities"/>
    <w:p>
      <w:pPr>
        <w:pStyle w:val="Heading3"/>
      </w:pPr>
      <w:r>
        <w:t xml:space="preserve">Core Responsibilities</w:t>
      </w:r>
    </w:p>
    <w:p>
      <w:pPr>
        <w:numPr>
          <w:ilvl w:val="0"/>
          <w:numId w:val="1002"/>
        </w:numPr>
        <w:pStyle w:val="Compact"/>
      </w:pPr>
      <w:r>
        <w:rPr>
          <w:bCs/>
          <w:b/>
        </w:rPr>
        <w:t xml:space="preserve">Economic Forecasting:</w:t>
      </w:r>
      <w:r>
        <w:t xml:space="preserve"> </w:t>
      </w:r>
      <w:hyperlink w:anchor="footnote4"/>
      <w:r>
        <w:t xml:space="preserve"> </w:t>
      </w:r>
      <w:r>
        <w:t xml:space="preserve">Analysts must predict local market trends, considering political stability in Mexico City and global supply chain disruptions. They utilize advanced modeling techniques to forecast revenue streams under various scenarios.</w:t>
      </w:r>
    </w:p>
    <w:p>
      <w:pPr>
        <w:numPr>
          <w:ilvl w:val="0"/>
          <w:numId w:val="1002"/>
        </w:numPr>
        <w:pStyle w:val="Compact"/>
      </w:pPr>
      <w:r>
        <w:rPr>
          <w:bCs/>
          <w:b/>
        </w:rPr>
        <w:t xml:space="preserve">Regulatory Compliance:</w:t>
      </w:r>
      <w:r>
        <w:t xml:space="preserve"> </w:t>
      </w:r>
      <w:hyperlink w:anchor="footnote5"/>
      <w:r>
        <w:t xml:space="preserve"> </w:t>
      </w:r>
      <w:r>
        <w:t xml:space="preserve">Mexico’s tax code and corporate governance laws are frequently updated. The</w:t>
      </w:r>
      <w:r>
        <w:t xml:space="preserve"> </w:t>
      </w:r>
      <w:r>
        <w:rPr>
          <w:bCs/>
          <w:b/>
        </w:rPr>
        <w:t xml:space="preserve">Financial Analyst</w:t>
      </w:r>
      <w:r>
        <w:t xml:space="preserve"> </w:t>
      </w:r>
      <w:r>
        <w:t xml:space="preserve">must ensure that all reporting complies with the Mexican Financial Reporting Standards (NIFs) and international standards like IFRS, which are widely adopted in CDMX.</w:t>
      </w:r>
    </w:p>
    <w:p>
      <w:pPr>
        <w:numPr>
          <w:ilvl w:val="0"/>
          <w:numId w:val="1002"/>
        </w:numPr>
        <w:pStyle w:val="Compact"/>
      </w:pPr>
      <w:r>
        <w:rPr>
          <w:bCs/>
          <w:b/>
        </w:rPr>
        <w:t xml:space="preserve">Cash Flow Management:</w:t>
      </w:r>
      <w:r>
        <w:t xml:space="preserve"> </w:t>
      </w:r>
      <w:hyperlink w:anchor="footnote6"/>
      <w:r>
        <w:t xml:space="preserve"> </w:t>
      </w:r>
      <w:r>
        <w:t xml:space="preserve">In a city characterized by rapid urban expansion and logistical challenges, efficient working capital management is crucial. Analysts monitor liquidity to ensure business continuity amidst potential infrastructure delays or banking sector fluctuations.</w:t>
      </w:r>
    </w:p>
    <w:bookmarkEnd w:id="22"/>
    <w:bookmarkEnd w:id="23"/>
    <w:bookmarkStart w:id="27" w:name="case-scenario-techfina-solutions-mexico"/>
    <w:p>
      <w:pPr>
        <w:pStyle w:val="Heading2"/>
      </w:pPr>
      <w:r>
        <w:t xml:space="preserve">Case Scenario: TechFina Solutions Mexico</w:t>
      </w:r>
    </w:p>
    <w:p>
      <w:pPr>
        <w:pStyle w:val="FirstParagraph"/>
      </w:pPr>
      <w:r>
        <w:t xml:space="preserve">To illustrate these concepts, we examine "TechFina Solutions," a hypothetical fintech startup headquartered in the Polanco district of Mexico City. As the company expanded from its inception to a regional leader, it faced several financial hurdles that required the intervention of its senior</w:t>
      </w:r>
      <w:r>
        <w:t xml:space="preserve"> </w:t>
      </w:r>
      <w:r>
        <w:rPr>
          <w:bCs/>
          <w:b/>
        </w:rPr>
        <w:t xml:space="preserve">Financial Analyst</w:t>
      </w:r>
      <w:r>
        <w:t xml:space="preserve">, Maria Gonzalez.</w:t>
      </w:r>
    </w:p>
    <w:bookmarkStart w:id="24" w:name="the-challenge"/>
    <w:p>
      <w:pPr>
        <w:pStyle w:val="Heading3"/>
      </w:pPr>
      <w:r>
        <w:t xml:space="preserve">The Challenge</w:t>
      </w:r>
    </w:p>
    <w:p>
      <w:pPr>
        <w:pStyle w:val="FirstParagraph"/>
      </w:pPr>
      <w:r>
        <w:t xml:space="preserve">TechFina needed to secure Series B funding while simultaneously expanding operations into rural Mexico. The primary challenge was presenting a valuation model that appealed to international investors who were wary of Mexican market risks. Furthermore, the company faced rising operational costs in Mexico City due to inflation and increased competition for real estate.</w:t>
      </w:r>
    </w:p>
    <w:bookmarkEnd w:id="24"/>
    <w:bookmarkStart w:id="25" w:name="the-analysts-intervention"/>
    <w:p>
      <w:pPr>
        <w:pStyle w:val="Heading3"/>
      </w:pPr>
      <w:r>
        <w:t xml:space="preserve">The Analyst’s Intervention</w:t>
      </w:r>
    </w:p>
    <w:p>
      <w:pPr>
        <w:pStyle w:val="FirstParagraph"/>
      </w:pPr>
      <w:r>
        <w:t xml:space="preserve">Maria, acting as the lead</w:t>
      </w:r>
      <w:r>
        <w:t xml:space="preserve"> </w:t>
      </w:r>
      <w:r>
        <w:rPr>
          <w:bCs/>
          <w:b/>
        </w:rPr>
        <w:t xml:space="preserve">Financial Analyst</w:t>
      </w:r>
      <w:r>
        <w:t xml:space="preserve">, implemented a three-pronged strategy:</w:t>
      </w:r>
    </w:p>
    <w:p>
      <w:pPr>
        <w:numPr>
          <w:ilvl w:val="0"/>
          <w:numId w:val="1003"/>
        </w:numPr>
        <w:pStyle w:val="Compact"/>
      </w:pPr>
      <w:r>
        <w:rPr>
          <w:bCs/>
          <w:b/>
        </w:rPr>
        <w:t xml:space="preserve">Risk-Adjusted Valuation:</w:t>
      </w:r>
      <w:r>
        <w:t xml:space="preserve"> </w:t>
      </w:r>
      <w:hyperlink w:anchor="footnote7"/>
      <w:r>
        <w:t xml:space="preserve"> </w:t>
      </w:r>
      <w:r>
        <w:t xml:space="preserve">She developed a discounted cash flow (DCF) model that incorporated specific risk premiums related to the Mexican peso and regulatory changes in Mexico City. This provided investors with a realistic yet optimistic view of returns.</w:t>
      </w:r>
    </w:p>
    <w:p>
      <w:pPr>
        <w:numPr>
          <w:ilvl w:val="0"/>
          <w:numId w:val="1003"/>
        </w:numPr>
        <w:pStyle w:val="Compact"/>
      </w:pPr>
      <w:r>
        <w:rPr>
          <w:bCs/>
          <w:b/>
        </w:rPr>
        <w:t xml:space="preserve">Digital Transformation Advocacy:</w:t>
      </w:r>
      <w:r>
        <w:t xml:space="preserve"> </w:t>
      </w:r>
      <w:hyperlink w:anchor="footnote8"/>
      <w:r>
        <w:t xml:space="preserve"> </w:t>
      </w:r>
      <w:r>
        <w:t xml:space="preserve">Maria identified that automating back-office functions could reduce overheads by 15%. She presented a cost-benefit analysis to the CFO, highlighting how technology could mitigate the inflationary impact on salaries and office maintenance.</w:t>
      </w:r>
    </w:p>
    <w:p>
      <w:pPr>
        <w:numPr>
          <w:ilvl w:val="0"/>
          <w:numId w:val="1003"/>
        </w:numPr>
        <w:pStyle w:val="Compact"/>
      </w:pPr>
      <w:r>
        <w:rPr>
          <w:bCs/>
          <w:b/>
        </w:rPr>
        <w:t xml:space="preserve">Stakeholder Communication:</w:t>
      </w:r>
      <w:r>
        <w:t xml:space="preserve"> </w:t>
      </w:r>
      <w:hyperlink w:anchor="footnote9"/>
      <w:r>
        <w:t xml:space="preserve"> </w:t>
      </w:r>
      <w:r>
        <w:t xml:space="preserve">Serving as the bridge between technical data and strategic decision-making, Maria translated complex financial data into compelling narratives for non-financial stakeholders in Mexico City. This enhanced transparency and built trust among local partners and international investors.</w:t>
      </w:r>
    </w:p>
    <w:bookmarkEnd w:id="25"/>
    <w:bookmarkStart w:id="26" w:name="the-outcome"/>
    <w:p>
      <w:pPr>
        <w:pStyle w:val="Heading3"/>
      </w:pPr>
      <w:r>
        <w:t xml:space="preserve">The Outcome</w:t>
      </w:r>
    </w:p>
    <w:p>
      <w:pPr>
        <w:pStyle w:val="FirstParagraph"/>
      </w:pPr>
      <w:r>
        <w:t xml:space="preserve">The strategy succeeded. TechFina secured $15 million in funding, largely due to the clarity and robustness of Maria’s financial modeling. Moreover, the cost-saving initiatives allowed the company to maintain profitability despite inflationary pressures in Mexico City. This case exemplifies how a skilled</w:t>
      </w:r>
      <w:r>
        <w:t xml:space="preserve"> </w:t>
      </w:r>
      <w:r>
        <w:rPr>
          <w:bCs/>
          <w:b/>
        </w:rPr>
        <w:t xml:space="preserve">Financial Analyst</w:t>
      </w:r>
      <w:r>
        <w:t xml:space="preserve"> </w:t>
      </w:r>
      <w:r>
        <w:t xml:space="preserve">can directly influence corporate success.</w:t>
      </w:r>
    </w:p>
    <w:bookmarkEnd w:id="26"/>
    <w:bookmarkEnd w:id="27"/>
    <w:bookmarkStart w:id="28" w:name="X9bd0fb5c2d85b44d053afecbaf37327d9bd9172"/>
    <w:p>
      <w:pPr>
        <w:pStyle w:val="Heading2"/>
      </w:pPr>
      <w:r>
        <w:t xml:space="preserve">Skills Required for Success in Mexico City</w:t>
      </w:r>
    </w:p>
    <w:p>
      <w:pPr>
        <w:pStyle w:val="FirstParagraph"/>
      </w:pPr>
      <w:r>
        <w:t xml:space="preserve">Beyond technical proficiency, several non-technical skills are vital for a</w:t>
      </w:r>
    </w:p>
    <w:p>
      <w:pPr>
        <w:pStyle w:val="BodyText"/>
      </w:pPr>
      <w:r>
        <w:t xml:space="preserve">Financial Analyst</w:t>
      </w:r>
    </w:p>
    <w:p>
      <w:pPr>
        <w:pStyle w:val="BodyText"/>
      </w:pPr>
      <w:r>
        <w:t xml:space="preserve">thriving in Mexico City:</w:t>
      </w:r>
    </w:p>
    <w:p>
      <w:pPr>
        <w:pStyle w:val="FirstParagraph"/>
      </w:pPr>
      <w:r>
        <w:rPr>
          <w:bCs/>
          <w:b/>
        </w:rPr>
        <w:t xml:space="preserve">Adaptability:</w:t>
      </w:r>
      <w:r>
        <w:t xml:space="preserve">The business environment in CDMX changes rapidly. Analysts must be agile, adjusting models and strategies on the fly.</w:t>
      </w:r>
    </w:p>
    <w:p>
      <w:pPr>
        <w:pStyle w:val="BodyText"/>
      </w:pPr>
      <w:r>
        <w:t xml:space="preserve">Linguistic Proficiency:While Spanish is the primary language of business, fluency in English is essential for dealing with international stakeholders. The</w:t>
      </w:r>
      <w:r>
        <w:t xml:space="preserve"> </w:t>
      </w:r>
      <w:r>
        <w:rPr>
          <w:bCs/>
          <w:b/>
        </w:rPr>
        <w:t xml:space="preserve">Financial Analyst</w:t>
      </w:r>
      <w:r>
        <w:t xml:space="preserve"> </w:t>
      </w:r>
      <w:r>
        <w:t xml:space="preserve">must often prepare reports in both languages.</w:t>
      </w:r>
    </w:p>
    <w:p>
      <w:pPr>
        <w:pStyle w:val="BodyText"/>
      </w:pPr>
      <w:r>
        <w:t xml:space="preserve">Negotiation Skills:Given the relational nature of business in Mexico, analysts often participate in negotiations with vendors and clients. Strong interpersonal skills are paramount.</w:t>
      </w:r>
    </w:p>
    <w:bookmarkEnd w:id="28"/>
    <w:bookmarkStart w:id="29" w:name="future-outlook"/>
    <w:p>
      <w:pPr>
        <w:pStyle w:val="Heading2"/>
      </w:pPr>
      <w:r>
        <w:t xml:space="preserve">Future Outlook</w:t>
      </w:r>
    </w:p>
    <w:p>
      <w:pPr>
        <w:pStyle w:val="FirstParagraph"/>
      </w:pPr>
      <w:r>
        <w:t xml:space="preserve">The future for financial professionals in Mexico City is bright but demanding. As digital currencies and AI-driven analytics become more prevalent, the role of the</w:t>
      </w:r>
      <w:r>
        <w:t xml:space="preserve"> </w:t>
      </w:r>
      <w:r>
        <w:rPr>
          <w:bCs/>
          <w:b/>
        </w:rPr>
        <w:t xml:space="preserve">Financial Analyst</w:t>
      </w:r>
      <w:r>
        <w:t xml:space="preserve"> </w:t>
      </w:r>
      <w:r>
        <w:t xml:space="preserve">will continue to shift towards predictive analytics and strategic advisory. Companies in Mexico City are increasingly seeking analysts who can not only interpret past data but also forecast future trends with high precision.</w:t>
      </w:r>
    </w:p>
    <w:p>
      <w:pPr>
        <w:pStyle w:val="BodyText"/>
      </w:pPr>
      <w:r>
        <w:t xml:space="preserve">Educational institutions in Mexico City are responding by updating their curricula to include more data science and cybersecurity modules alongside traditional finance courses. This aligns with the industry's need for professionals who can handle big data and protect sensitive financial information.</w:t>
      </w:r>
    </w:p>
    <w:bookmarkEnd w:id="29"/>
    <w:bookmarkStart w:id="32" w:name="conclusion"/>
    <w:p>
      <w:pPr>
        <w:pStyle w:val="Heading2"/>
      </w:pPr>
      <w:r>
        <w:t xml:space="preserve">Conclusion</w:t>
      </w:r>
    </w:p>
    <w:p>
      <w:pPr>
        <w:pStyle w:val="FirstParagraph"/>
      </w:pPr>
      <w:r>
        <w:t xml:space="preserve">In conclusion, the</w:t>
      </w:r>
      <w:r>
        <w:t xml:space="preserve"> </w:t>
      </w:r>
      <w:r>
        <w:rPr>
          <w:bCs/>
          <w:b/>
        </w:rPr>
        <w:t xml:space="preserve">Financial Analyst</w:t>
      </w:r>
      <w:r>
        <w:t xml:space="preserve"> </w:t>
      </w:r>
      <w:r>
        <w:t xml:space="preserve">in Mexico City plays a pivotal role in navigating the complexities of one of Latin America’s most vibrant economies. Through strategic planning, rigorous analysis, and effective communication, these professionals help businesses mitigate risk and seize opportunities. As evidenced by the TechFina case study, their impact extends beyond balance sheets; they are architects of sustainable growth.</w:t>
      </w:r>
    </w:p>
    <w:p>
      <w:pPr>
        <w:pStyle w:val="BodyText"/>
      </w:pPr>
      <w:r>
        <w:t xml:space="preserve">For organizations operating in Mexico City, investing in high-quality financial talent is not just an operational necessity but a strategic imperative. The ability to interpret the unique economic signals of this bustling metropolis will determine which companies thrive and which merely survive.</w:t>
      </w:r>
    </w:p>
    <w:p>
      <w:r>
        <w:pict>
          <v:rect style="width:0;height:1.5pt" o:hralign="center" o:hrstd="t" o:hr="t"/>
        </w:pict>
      </w:r>
    </w:p>
    <w:p>
      <w:pPr>
        <w:pStyle w:val="FirstParagraph"/>
      </w:pPr>
      <w:hyperlink w:anchor="footnote12"/>
    </w:p>
    <w:bookmarkStart w:id="31" w:name="acknowledgments"/>
    <w:p>
      <w:pPr>
        <w:pStyle w:val="Heading3"/>
      </w:pPr>
      <w:r>
        <w:t xml:space="preserve">Acknowledgments</w:t>
      </w:r>
    </w:p>
    <w:p>
      <w:pPr>
        <w:pStyle w:val="FirstParagraph"/>
      </w:pPr>
      <w:r>
        <w:t xml:space="preserve">This case study was compiled with insights from industry experts in the Mexico City financial sector. Special thanks to the participants who shared their experiences navigating the challenges of working as a</w:t>
      </w:r>
      <w:r>
        <w:t xml:space="preserve"> </w:t>
      </w:r>
      <w:r>
        <w:rPr>
          <w:bCs/>
          <w:b/>
        </w:rPr>
        <w:t xml:space="preserve">Financial Analyst</w:t>
      </w:r>
      <w:r>
        <w:t xml:space="preserve"> </w:t>
      </w:r>
      <w:r>
        <w:t xml:space="preserve">in this dynamic region.</w:t>
      </w:r>
    </w:p>
    <w:bookmarkStart w:id="30" w:name="footnotes"/>
    <w:p>
      <w:pPr>
        <w:numPr>
          <w:ilvl w:val="0"/>
          <w:numId w:val="1005"/>
        </w:numPr>
        <w:pStyle w:val="Compact"/>
      </w:pPr>
      <w:r>
        <w:t xml:space="preserve">Currency Volatility Impact</w:t>
      </w:r>
    </w:p>
    <w:p>
      <w:pPr>
        <w:numPr>
          <w:ilvl w:val="0"/>
          <w:numId w:val="1005"/>
        </w:numPr>
        <w:pStyle w:val="Compact"/>
      </w:pPr>
      <w:r>
        <w:t xml:space="preserve">Inflationary Pressures Context</w:t>
      </w:r>
    </w:p>
    <w:p>
      <w:pPr>
        <w:numPr>
          <w:ilvl w:val="0"/>
          <w:numId w:val="1005"/>
        </w:numPr>
      </w:pPr>
      <w:r>
        <w:t xml:space="preserve">Nearshoring Trends Analysis.</w:t>
      </w:r>
      <w:r>
        <w:br/>
      </w:r>
      <w:r>
        <w:t xml:space="preserve"> </w:t>
      </w:r>
      <w:hyperlink w:anchor="footnote4">
        <w:r>
          <w:rPr>
            <w:rStyle w:val="Hyperlink"/>
          </w:rPr>
          <w:t xml:space="preserve">Economic Forecasting Methods</w:t>
        </w:r>
      </w:hyperlink>
      <w:r>
        <w:t xml:space="preserve">.</w:t>
      </w:r>
    </w:p>
    <w:p>
      <w:pPr>
        <w:numPr>
          <w:ilvl w:val="0"/>
          <w:numId w:val="1000"/>
        </w:numPr>
      </w:pPr>
      <w:r>
        <w:t xml:space="preserve"> </w:t>
      </w:r>
    </w:p>
    <w:bookmarkEnd w:id="30"/>
    <w:bookmarkEnd w:id="31"/>
    <w:bookmarkEnd w:id="32"/>
    <w:bookmarkStart w:id="33" w:name="references"/>
    <w:p>
      <w:pPr>
        <w:pStyle w:val="Heading2"/>
      </w:pPr>
      <w:r>
        <w:t xml:space="preserve">References and Notes</w:t>
      </w:r>
    </w:p>
    <w:p>
      <w:pPr>
        <w:numPr>
          <w:ilvl w:val="0"/>
          <w:numId w:val="1006"/>
        </w:numPr>
        <w:pStyle w:val="Compact"/>
      </w:pPr>
      <w:r>
        <w:t xml:space="preserve">Note 1: The Mexican Peso's volatility is heavily influenced by US trade policies and oil prices.</w:t>
      </w:r>
      <w:r>
        <w:br/>
      </w:r>
      <w:r>
        <w:t xml:space="preserve">Note 2: Inflation in Mexico City has averaged between 4-7% in the last three years, impacting operational costs. Note3: Nearshoring has led to a surge in demand for warehouse space and logistics services in Greater Mexico City. Note4: Analysts use Monte Carlo simulations to account for uncertainty.</w:t>
      </w:r>
      <w:r>
        <w:br/>
      </w:r>
      <w:r>
        <w:t xml:space="preserve">Note5: Compliance with NOM standards and SAT (Tax Administration Service) regulations is mandatory.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Mexico City</dc:title>
  <dc:creator/>
  <dc:language>en</dc:language>
  <cp:keywords/>
  <dcterms:created xsi:type="dcterms:W3CDTF">2026-07-29T14:43:46Z</dcterms:created>
  <dcterms:modified xsi:type="dcterms:W3CDTF">2026-07-29T14:43:46Z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