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Dutch</w:t>
      </w:r>
      <w:r>
        <w:t xml:space="preserve"> </w:t>
      </w:r>
      <w:r>
        <w:t xml:space="preserve">Market</w:t>
      </w:r>
    </w:p>
    <w:bookmarkStart w:id="30" w:name="X25d07222431ed9e9cc63928550fa2f8bfa43229"/>
    <w:p>
      <w:pPr>
        <w:pStyle w:val="Heading1"/>
      </w:pPr>
      <w:r>
        <w:t xml:space="preserve">Case Study: The Role of the Financial Analyst in the Dynamic Landscape of Netherlands Amsterdam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Degree of Anonymity:</w:t>
      </w:r>
      <w:r>
        <w:t xml:space="preserve"> </w:t>
      </w:r>
      <w:r>
        <w:t xml:space="preserve">High (Company details anonymized for confidentiality)</w:t>
      </w:r>
    </w:p>
    <w:bookmarkStart w:id="20" w:name="executive-summary"/>
    <w:p>
      <w:pPr>
        <w:pStyle w:val="Heading2"/>
      </w:pPr>
      <w:r>
        <w:t xml:space="preserve">1. Executive Summary</w:t>
      </w:r>
    </w:p>
    <w:p>
      <w:pPr>
        <w:pStyle w:val="FirstParagraph"/>
      </w:pPr>
      <w:r>
        <w:t xml:space="preserve">This case study examines the critical function and evolving responsibilities of a</w:t>
      </w:r>
      <w:r>
        <w:t xml:space="preserve"> </w:t>
      </w:r>
      <w:r>
        <w:rPr>
          <w:bCs/>
          <w:b/>
        </w:rPr>
        <w:t xml:space="preserve">Netherlands Amsterdam</w:t>
      </w:r>
      <w:r>
        <w:t xml:space="preserve">-based</w:t>
      </w:r>
      <w:r>
        <w:t xml:space="preserve"> </w:t>
      </w:r>
      <w:r>
        <w:rPr>
          <w:bCs/>
          <w:b/>
          <w:iCs/>
          <w:i/>
        </w:rPr>
        <w:t xml:space="preserve">Financial Analyst</w:t>
      </w:r>
      <w:r>
        <w:t xml:space="preserve">. As one of Europe’s most robust economic hubs,</w:t>
      </w:r>
    </w:p>
    <w:p>
      <w:pPr>
        <w:pStyle w:val="BodyText"/>
      </w:pPr>
      <w:r>
        <w:t xml:space="preserve">Netherlands Amsterdam presents a unique convergence of international trade, rigorous regulatory frameworks under EU directives, and high taxation complexities. The primary objective is to analyze how a senior financial analyst navigated a period of rapid expansion for a mid-sized fintech startup located in this specific geographic region. By focusing on the intersection of local Dutch fiscal policy and global market trends, this document highlights why the</w:t>
      </w:r>
      <w:r>
        <w:t xml:space="preserve"> </w:t>
      </w:r>
      <w:r>
        <w:rPr>
          <w:iCs/>
          <w:i/>
        </w:rPr>
        <w:t xml:space="preserve">Financial Analyst</w:t>
      </w:r>
      <w:r>
        <w:t xml:space="preserve"> </w:t>
      </w:r>
      <w:r>
        <w:t xml:space="preserve">serves not merely as an accountant, but as a strategic architect for business sustainability in</w:t>
      </w:r>
      <w:r>
        <w:t xml:space="preserve"> </w:t>
      </w:r>
      <w:r>
        <w:rPr>
          <w:bCs/>
          <w:b/>
        </w:rPr>
        <w:t xml:space="preserve">Netherlands Amsterdam</w:t>
      </w:r>
      <w:r>
        <w:t xml:space="preserve">.</w:t>
      </w:r>
    </w:p>
    <w:bookmarkEnd w:id="20"/>
    <w:bookmarkStart w:id="21" w:name="company-background-and-context"/>
    <w:p>
      <w:pPr>
        <w:pStyle w:val="Heading2"/>
      </w:pPr>
      <w:r>
        <w:t xml:space="preserve">2. Company Background and Context</w:t>
      </w:r>
    </w:p>
    <w:p>
      <w:pPr>
        <w:pStyle w:val="FirstParagraph"/>
      </w:pPr>
      <w:r>
        <w:t xml:space="preserve">The subject of this case study is "TechFin NL," a hypothetical yet representative mid-sized financial technology enterprise headquartered in the heart of</w:t>
      </w:r>
      <w:r>
        <w:t xml:space="preserve"> </w:t>
      </w:r>
      <w:r>
        <w:rPr>
          <w:bCs/>
          <w:b/>
        </w:rPr>
        <w:t xml:space="preserve">Netherlands Amsterdam</w:t>
      </w:r>
      <w:r>
        <w:t xml:space="preserve">. Established five years prior to the study, TechFin NL provides blockchain-based payment solutions for cross-border transactions. The company operates within the vibrant innovation ecosystem of</w:t>
      </w:r>
      <w:r>
        <w:t xml:space="preserve"> </w:t>
      </w:r>
      <w:r>
        <w:rPr>
          <w:bCs/>
          <w:b/>
        </w:rPr>
        <w:t xml:space="preserve">Netherlands Amsterdam</w:t>
      </w:r>
      <w:r>
        <w:t xml:space="preserve">, characterized by proximity to major logistics hubs like the Port of Rotterdam and a dense network of venture capital firms in areas such as Southpark.</w:t>
      </w:r>
    </w:p>
    <w:p>
      <w:pPr>
        <w:pStyle w:val="BodyText"/>
      </w:pPr>
      <w:r>
        <w:t xml:space="preserve">Despite its strong product-market fit, TechFin NL faced a critical juncture. Following Series B funding, the company sought to scale operations from 50 employees to 200 within two years. The existing financial infrastructure was reactive rather than proactive. The board recognized that the unique regulatory environment of the Netherlands, coupled with international expansion goals, required a sophisticated</w:t>
      </w:r>
      <w:r>
        <w:t xml:space="preserve"> </w:t>
      </w:r>
      <w:r>
        <w:rPr>
          <w:bCs/>
          <w:b/>
          <w:iCs/>
          <w:i/>
        </w:rPr>
        <w:t xml:space="preserve">Financial Analyst</w:t>
      </w:r>
      <w:r>
        <w:t xml:space="preserve"> </w:t>
      </w:r>
      <w:r>
        <w:t xml:space="preserve">capable of interpreting complex Dutch tax laws (such as VAT regulations for digital services) and optimizing capital structures.</w:t>
      </w:r>
    </w:p>
    <w:bookmarkEnd w:id="21"/>
    <w:bookmarkStart w:id="22" w:name="problem-statement"/>
    <w:p>
      <w:pPr>
        <w:pStyle w:val="Heading2"/>
      </w:pPr>
      <w:r>
        <w:t xml:space="preserve">3. Problem Statement</w:t>
      </w:r>
    </w:p>
    <w:p>
      <w:pPr>
        <w:pStyle w:val="FirstParagraph"/>
      </w:pPr>
      <w:r>
        <w:t xml:space="preserve">The core challenge lay in the disconnect between operational growth and financial oversight. Specifically, the company struggled with:</w:t>
      </w:r>
    </w:p>
    <w:p>
      <w:pPr>
        <w:numPr>
          <w:ilvl w:val="0"/>
          <w:numId w:val="1001"/>
        </w:numPr>
        <w:pStyle w:val="Compact"/>
      </w:pPr>
      <w:r>
        <w:rPr>
          <w:bCs/>
          <w:b/>
        </w:rPr>
        <w:t xml:space="preserve">Fiscal Compliance Complexity:Netherlands Amsterdam</w:t>
      </w:r>
      <w:r>
        <w:t xml:space="preserve">-based entities face stringent requirements from the Dutch Tax and Customs Administration (Belastingdienst). The existing team lacked deep expertise in transfer pricing rules relevant to cross-border tech services.</w:t>
      </w:r>
    </w:p>
    <w:p>
      <w:pPr>
        <w:numPr>
          <w:ilvl w:val="0"/>
          <w:numId w:val="1001"/>
        </w:numPr>
        <w:pStyle w:val="Compact"/>
      </w:pPr>
      <w:r>
        <w:rPr>
          <w:bCs/>
          <w:b/>
        </w:rPr>
        <w:t xml:space="preserve">Cash Flow Volatility:</w:t>
      </w:r>
      <w:r>
        <w:t xml:space="preserve"> </w:t>
      </w:r>
      <w:r>
        <w:t xml:space="preserve">With high burn rates typical of startups, liquidity management was precarious. There was no robust forecasting model tailored to the seasonal fluctuations common in the European market.</w:t>
      </w:r>
    </w:p>
    <w:p>
      <w:pPr>
        <w:numPr>
          <w:ilvl w:val="0"/>
          <w:numId w:val="1001"/>
        </w:numPr>
        <w:pStyle w:val="Compact"/>
      </w:pPr>
      <w:r>
        <w:rPr>
          <w:bCs/>
          <w:b/>
        </w:rPr>
        <w:t xml:space="preserve">Strategic Insight Gap:</w:t>
      </w:r>
      <w:r>
        <w:t xml:space="preserve"> </w:t>
      </w:r>
      <w:r>
        <w:t xml:space="preserve">Decisions regarding hiring and R&amp;D investment were made based on intuition rather than data-driven insights provided by a dedicated</w:t>
      </w:r>
      <w:r>
        <w:t xml:space="preserve"> </w:t>
      </w:r>
      <w:r>
        <w:rPr>
          <w:bCs/>
          <w:b/>
          <w:iCs/>
          <w:i/>
        </w:rPr>
        <w:t xml:space="preserve">Financial Analyst</w:t>
      </w:r>
      <w:r>
        <w:t xml:space="preserve">.</w:t>
      </w:r>
    </w:p>
    <w:bookmarkEnd w:id="22"/>
    <w:bookmarkStart w:id="26" w:name="X47feba0129fc6205b6f2e8a56af97f63b7f2227"/>
    <w:p>
      <w:pPr>
        <w:pStyle w:val="Heading2"/>
      </w:pPr>
      <w:r>
        <w:t xml:space="preserve">The Role of the Financial Analyst in Netherlands Amsterdam</w:t>
      </w:r>
    </w:p>
    <w:p>
      <w:pPr>
        <w:pStyle w:val="FirstParagraph"/>
      </w:pPr>
      <w:r>
        <w:t xml:space="preserve">To address these challenges, TechFin NL appointed a Senior</w:t>
      </w:r>
      <w:r>
        <w:t xml:space="preserve"> </w:t>
      </w:r>
      <w:r>
        <w:rPr>
          <w:bCs/>
          <w:b/>
          <w:iCs/>
          <w:i/>
        </w:rPr>
        <w:t xml:space="preserve">Financial Analyst</w:t>
      </w:r>
      <w:r>
        <w:t xml:space="preserve">. This role was specifically tailored to the context of</w:t>
      </w:r>
    </w:p>
    <w:p>
      <w:pPr>
        <w:pStyle w:val="BodyText"/>
      </w:pPr>
      <w:r>
        <w:t xml:space="preserve">Netherlands Amsterdam, requiring a blend of technical financial skills and local regulatory knowledge. The following sections detail the specific interventions undertaken.</w:t>
      </w:r>
    </w:p>
    <w:bookmarkStart w:id="23" w:name="X2866056f09f4896a145f56733d1dc454d381d3c"/>
    <w:p>
      <w:pPr>
        <w:pStyle w:val="Heading3"/>
      </w:pPr>
      <w:r>
        <w:t xml:space="preserve">A. Navigating Dutch Regulatory Frameworks</w:t>
      </w:r>
    </w:p>
    <w:p>
      <w:pPr>
        <w:pStyle w:val="FirstParagraph"/>
      </w:pPr>
      <w:r>
        <w:t xml:space="preserve">The primary duty of the</w:t>
      </w:r>
      <w:r>
        <w:t xml:space="preserve"> </w:t>
      </w:r>
      <w:r>
        <w:rPr>
          <w:bCs/>
          <w:b/>
          <w:iCs/>
          <w:i/>
        </w:rPr>
        <w:t xml:space="preserve">Financial Analyst</w:t>
      </w:r>
      <w:r>
        <w:t xml:space="preserve"> </w:t>
      </w:r>
      <w:r>
        <w:t xml:space="preserve">was to ensure compliance with Dutch fiscal standards while leveraging incentives available in</w:t>
      </w:r>
    </w:p>
    <w:p>
      <w:pPr>
        <w:pStyle w:val="BodyText"/>
      </w:pPr>
      <w:r>
        <w:t xml:space="preserve">Netherlands Amsterdam. For instance, the analyst implemented strategies related to the Innovation Box (</w:t>
      </w:r>
      <w:r>
        <w:rPr>
          <w:iCs/>
          <w:i/>
        </w:rPr>
        <w:t xml:space="preserve">Innovatiebox</w:t>
      </w:r>
      <w:r>
        <w:t xml:space="preserve">) tax regime. This Dutch tax incentive allows companies to apply a reduced corporate income tax rate (10%) on profits derived from innovative activities. By meticulously tracking R&amp;D expenditures and mapping them against eligible intellectual property assets, the</w:t>
      </w:r>
      <w:r>
        <w:t xml:space="preserve"> </w:t>
      </w:r>
      <w:r>
        <w:rPr>
          <w:bCs/>
          <w:b/>
          <w:iCs/>
          <w:i/>
        </w:rPr>
        <w:t xml:space="preserve">Financial Analyst</w:t>
      </w:r>
      <w:r>
        <w:t xml:space="preserve"> </w:t>
      </w:r>
      <w:r>
        <w:t xml:space="preserve">successfully reduced the company’s effective tax rate by 4%, freeing up significant capital for reinvestment.</w:t>
      </w:r>
    </w:p>
    <w:p>
      <w:pPr>
        <w:pStyle w:val="BodyText"/>
      </w:pPr>
      <w:r>
        <w:t xml:space="preserve">Furthermore, the</w:t>
      </w:r>
      <w:r>
        <w:t xml:space="preserve"> </w:t>
      </w:r>
      <w:r>
        <w:rPr>
          <w:bCs/>
          <w:b/>
          <w:iCs/>
          <w:i/>
        </w:rPr>
        <w:t xml:space="preserve">Financial Analyst</w:t>
      </w:r>
      <w:r>
        <w:t xml:space="preserve"> </w:t>
      </w:r>
      <w:r>
        <w:t xml:space="preserve">managed Value Added Tax (VAT) complexities. Since TechFin NL provided services across EU borders, determining the place of supply and applying reverse charge mechanisms correctly was vital to avoid penalties from Dutch authorities. The analyst established automated compliance workflows that aligned with</w:t>
      </w:r>
    </w:p>
    <w:p>
      <w:pPr>
        <w:pStyle w:val="BodyText"/>
      </w:pPr>
      <w:r>
        <w:t xml:space="preserve">Netherlands Amsterdam-based auditing standards.</w:t>
      </w:r>
    </w:p>
    <w:bookmarkEnd w:id="23"/>
    <w:bookmarkStart w:id="24" w:name="b.-advanced-forecasting-and-budgeting"/>
    <w:p>
      <w:pPr>
        <w:pStyle w:val="Heading3"/>
      </w:pPr>
      <w:r>
        <w:t xml:space="preserve">B. Advanced Forecasting and Budgeting</w:t>
      </w:r>
    </w:p>
    <w:p>
      <w:pPr>
        <w:pStyle w:val="FirstParagraph"/>
      </w:pPr>
      <w:r>
        <w:t xml:space="preserve">Moving beyond historical accounting, the</w:t>
      </w:r>
      <w:r>
        <w:t xml:space="preserve"> </w:t>
      </w:r>
      <w:r>
        <w:rPr>
          <w:bCs/>
          <w:b/>
          <w:iCs/>
          <w:i/>
        </w:rPr>
        <w:t xml:space="preserve">Financial Analyst</w:t>
      </w:r>
      <w:r>
        <w:t xml:space="preserve"> </w:t>
      </w:r>
      <w:r>
        <w:t xml:space="preserve">introduced zero-based budgeting (ZBB) integrated with rolling forecasts. Given the volatile nature of tech markets, static annual budgets were deemed insufficient. The analyst utilized Python and advanced Excel modeling to create dynamic scenarios that simulated various market conditions.</w:t>
      </w:r>
    </w:p>
    <w:p>
      <w:pPr>
        <w:pStyle w:val="BodyText"/>
      </w:pPr>
      <w:r>
        <w:t xml:space="preserve">This approach allowed the executive team in</w:t>
      </w:r>
    </w:p>
    <w:p>
      <w:pPr>
        <w:pStyle w:val="BodyText"/>
      </w:pPr>
      <w:r>
        <w:t xml:space="preserve">Netherlands Amsterdam to anticipate cash flow gaps up to 12 months in advance. For example, during a period of interest rate hikes by the European Central Bank, which directly impacted loan servicing costs for Dutch companies, the</w:t>
      </w:r>
      <w:r>
        <w:t xml:space="preserve"> </w:t>
      </w:r>
      <w:r>
        <w:rPr>
          <w:bCs/>
          <w:b/>
          <w:iCs/>
          <w:i/>
        </w:rPr>
        <w:t xml:space="preserve">Financial Analyst</w:t>
      </w:r>
      <w:r>
        <w:t xml:space="preserve"> </w:t>
      </w:r>
      <w:r>
        <w:t xml:space="preserve">identified potential liquidity shortfalls early. This proactive stance enabled TechFin NL to refinance debt at optimal rates before the situation deteriorated.</w:t>
      </w:r>
    </w:p>
    <w:bookmarkEnd w:id="24"/>
    <w:bookmarkStart w:id="25" w:name="c.-data-driven-strategic-decision-making"/>
    <w:p>
      <w:pPr>
        <w:pStyle w:val="Heading3"/>
      </w:pPr>
      <w:r>
        <w:t xml:space="preserve">C. Data-Driven Strategic Decision Making</w:t>
      </w:r>
    </w:p>
    <w:p>
      <w:pPr>
        <w:pStyle w:val="FirstParagraph"/>
      </w:pPr>
      <w:r>
        <w:t xml:space="preserve">The</w:t>
      </w:r>
      <w:r>
        <w:t xml:space="preserve"> </w:t>
      </w:r>
      <w:r>
        <w:rPr>
          <w:bCs/>
          <w:b/>
          <w:iCs/>
          <w:i/>
        </w:rPr>
        <w:t xml:space="preserve">Financial Analyst</w:t>
      </w:r>
      <w:r>
        <w:t xml:space="preserve"> </w:t>
      </w:r>
      <w:r>
        <w:t xml:space="preserve">transformed financial data into actionable business intelligence. By analyzing customer acquisition costs (CAC) and lifetime value (LTV) specific to different European markets, the analyst advised the CEO on which geographic segments to prioritize for expansion within</w:t>
      </w:r>
    </w:p>
    <w:p>
      <w:pPr>
        <w:pStyle w:val="BodyText"/>
      </w:pPr>
      <w:r>
        <w:t xml:space="preserve">Netherlands Amsterdam-centric operations.</w:t>
      </w:r>
    </w:p>
    <w:p>
      <w:pPr>
        <w:pStyle w:val="BodyText"/>
      </w:pPr>
      <w:r>
        <w:t xml:space="preserve">The analysis revealed that while the domestic Dutch market was stable, growth margins were higher in neighboring Belgium and Germany due to lower initial marketing costs. Consequently, resource allocation shifted accordingly. The</w:t>
      </w:r>
      <w:r>
        <w:t xml:space="preserve"> </w:t>
      </w:r>
      <w:r>
        <w:rPr>
          <w:bCs/>
          <w:b/>
          <w:iCs/>
          <w:i/>
        </w:rPr>
        <w:t xml:space="preserve">Financial Analyst</w:t>
      </w:r>
      <w:r>
        <w:t xml:space="preserve"> </w:t>
      </w:r>
      <w:r>
        <w:t xml:space="preserve">presented these findings in monthly board meetings, bridging the gap between raw numbers and strategic vision.</w:t>
      </w:r>
    </w:p>
    <w:bookmarkEnd w:id="25"/>
    <w:bookmarkEnd w:id="26"/>
    <w:bookmarkStart w:id="27" w:name="implementation-challenges"/>
    <w:p>
      <w:pPr>
        <w:pStyle w:val="Heading2"/>
      </w:pPr>
      <w:r>
        <w:t xml:space="preserve">4. Implementation Challenges</w:t>
      </w:r>
    </w:p>
    <w:p>
      <w:pPr>
        <w:pStyle w:val="FirstParagraph"/>
      </w:pPr>
      <w:r>
        <w:t xml:space="preserve">The transition was not without hurdles. One significant challenge was cultural resistance within the engineering team, who viewed financial oversight as bureaucratic red tape common in large</w:t>
      </w:r>
    </w:p>
    <w:p>
      <w:pPr>
        <w:pStyle w:val="BodyText"/>
      </w:pPr>
      <w:r>
        <w:t xml:space="preserve">Netherlands Amsterdam-based corporations. The</w:t>
      </w:r>
      <w:r>
        <w:t xml:space="preserve"> </w:t>
      </w:r>
      <w:r>
        <w:rPr>
          <w:bCs/>
          <w:b/>
          <w:iCs/>
          <w:i/>
        </w:rPr>
        <w:t xml:space="preserve">Financial Analyst</w:t>
      </w:r>
      <w:r>
        <w:t xml:space="preserve"> </w:t>
      </w:r>
      <w:r>
        <w:t xml:space="preserve">had to adopt a collaborative approach, integrating financial checkpoints directly into the Agile development workflow rather than imposing them externally.</w:t>
      </w:r>
    </w:p>
    <w:p>
      <w:pPr>
        <w:pStyle w:val="BodyText"/>
      </w:pPr>
      <w:r>
        <w:t xml:space="preserve">Additionally, data silos existed between sales and finance departments. Overcoming this required the</w:t>
      </w:r>
      <w:r>
        <w:t xml:space="preserve"> </w:t>
      </w:r>
      <w:r>
        <w:rPr>
          <w:bCs/>
          <w:b/>
          <w:iCs/>
          <w:i/>
        </w:rPr>
        <w:t xml:space="preserve">Financial Analyst</w:t>
      </w:r>
      <w:r>
        <w:t xml:space="preserve">Netherlands Amsterdam.</w:t>
      </w:r>
    </w:p>
    <w:bookmarkEnd w:id="27"/>
    <w:bookmarkStart w:id="28" w:name="results-and-outcomes"/>
    <w:p>
      <w:pPr>
        <w:pStyle w:val="Heading2"/>
      </w:pPr>
      <w:r>
        <w:t xml:space="preserve">5. Results and Outcomes</w:t>
      </w:r>
    </w:p>
    <w:p>
      <w:pPr>
        <w:pStyle w:val="FirstParagraph"/>
      </w:pPr>
      <w:r>
        <w:t xml:space="preserve">The impact of integrating a specialized</w:t>
      </w:r>
      <w:r>
        <w:t xml:space="preserve"> </w:t>
      </w:r>
      <w:r>
        <w:rPr>
          <w:bCs/>
          <w:b/>
          <w:iCs/>
          <w:i/>
        </w:rPr>
        <w:t xml:space="preserve">Financial Analyst</w:t>
      </w:r>
    </w:p>
    <w:p>
      <w:pPr>
        <w:numPr>
          <w:ilvl w:val="0"/>
          <w:numId w:val="1002"/>
        </w:numPr>
        <w:pStyle w:val="Compact"/>
      </w:pPr>
      <w:r>
        <w:rPr>
          <w:bCs/>
          <w:b/>
        </w:rPr>
        <w:t xml:space="preserve">Tax Efficiency:</w:t>
      </w:r>
      <w:r>
        <w:t xml:space="preserve"> </w:t>
      </w:r>
      <w:r>
        <w:t xml:space="preserve">The utilization of the Innovation Box and other Dutch incentives resulted in a cumulative tax saving of €450,000.</w:t>
      </w:r>
    </w:p>
    <w:p>
      <w:pPr>
        <w:numPr>
          <w:ilvl w:val="0"/>
          <w:numId w:val="1002"/>
        </w:numPr>
        <w:pStyle w:val="Compact"/>
      </w:pPr>
      <w:r>
        <w:rPr>
          <w:bCs/>
          <w:b/>
        </w:rPr>
        <w:t xml:space="preserve">Cash Flow Stability:</w:t>
      </w:r>
      <w:r>
        <w:t xml:space="preserve"> </w:t>
      </w:r>
      <w:r>
        <w:t xml:space="preserve">Cash reserves increased by 35%, providing a buffer against market volatility and extending the runway for future fundraising rounds.</w:t>
      </w:r>
    </w:p>
    <w:p>
      <w:pPr>
        <w:numPr>
          <w:ilvl w:val="0"/>
          <w:numId w:val="1002"/>
        </w:numPr>
        <w:pStyle w:val="Compact"/>
      </w:pPr>
      <w:r>
        <w:rPr>
          <w:bCs/>
          <w:b/>
        </w:rPr>
        <w:t xml:space="preserve">Growth Acceleration:</w:t>
      </w:r>
      <w:r>
        <w:t xml:space="preserve"> </w:t>
      </w:r>
      <w:r>
        <w:t xml:space="preserve">By optimizing resource allocation based on financial analysis, revenue growth outpaced industry averages in</w:t>
      </w:r>
    </w:p>
    <w:p>
      <w:pPr>
        <w:numPr>
          <w:ilvl w:val="0"/>
          <w:numId w:val="1000"/>
        </w:numPr>
        <w:pStyle w:val="Compact"/>
      </w:pPr>
      <w:r>
        <w:t xml:space="preserve">Netherlands Amsterdam-based tech firms by 12%.</w:t>
      </w:r>
    </w:p>
    <w:p>
      <w:pPr>
        <w:numPr>
          <w:ilvl w:val="0"/>
          <w:numId w:val="1002"/>
        </w:numPr>
        <w:pStyle w:val="Compact"/>
      </w:pPr>
      <w:r>
        <w:rPr>
          <w:bCs/>
          <w:b/>
        </w:rPr>
        <w:t xml:space="preserve">Compliance Record:</w:t>
      </w:r>
      <w:r>
        <w:t xml:space="preserve"> </w:t>
      </w:r>
      <w:r>
        <w:t xml:space="preserve">Zero penalties or disputes with the Belastingdienst during the review period.</w:t>
      </w:r>
    </w:p>
    <w:p>
      <w:pPr>
        <w:pStyle w:val="FirstParagraph"/>
      </w:pPr>
      <w:r>
        <w:t xml:space="preserve">The Role of the Financial Analyst in Netherlands Amsterdam</w:t>
      </w:r>
    </w:p>
    <w:p>
      <w:pPr>
        <w:pStyle w:val="BodyText"/>
      </w:pPr>
      <w:r>
        <w:t xml:space="preserve">This case study underscores that in a complex, high-tax, and highly regulated environment like</w:t>
      </w:r>
      <w:r>
        <w:t xml:space="preserve"> </w:t>
      </w:r>
      <w:r>
        <w:rPr>
          <w:bCs/>
          <w:b/>
        </w:rPr>
        <w:t xml:space="preserve">Netherlands Amsterdam, the</w:t>
      </w:r>
      <w:r>
        <w:rPr>
          <w:bCs/>
          <w:b/>
        </w:rPr>
        <w:t xml:space="preserve"> </w:t>
      </w:r>
      <w:r>
        <w:rPr>
          <w:bCs/>
          <w:b/>
          <w:iCs/>
          <w:i/>
          <w:bCs/>
          <w:b/>
        </w:rPr>
        <w:t xml:space="preserve">Financial Analyst</w:t>
      </w:r>
    </w:p>
    <w:p>
      <w:pPr>
        <w:pStyle w:val="BodyText"/>
      </w:pPr>
      <w:r>
        <w:t xml:space="preserve">The specific demands of operating in</w:t>
      </w:r>
    </w:p>
    <w:p>
      <w:pPr>
        <w:pStyle w:val="BodyText"/>
      </w:pPr>
      <w:r>
        <w:t xml:space="preserve">Netherlands Amsterdam—with its international business community and sophisticated financial infrastructure—require a professional who can seamlessly blend technical financial expertise with strategic foresight. The success of TechFin NL demonstrates that investing in high-level analytical capabilities is not just a cost-saving measure, but a critical driver of competitive advantage.</w:t>
      </w:r>
    </w:p>
    <w:bookmarkEnd w:id="28"/>
    <w:bookmarkStart w:id="29" w:name="conclusion-and-recommendations"/>
    <w:p>
      <w:pPr>
        <w:pStyle w:val="Heading2"/>
      </w:pPr>
      <w:r>
        <w:t xml:space="preserve">6. Conclusion and Recommendations</w:t>
      </w:r>
    </w:p>
    <w:p>
      <w:pPr>
        <w:pStyle w:val="FirstParagraph"/>
      </w:pPr>
      <w:r>
        <w:t xml:space="preserve">In conclusion, the role of the</w:t>
      </w:r>
      <w:r>
        <w:t xml:space="preserve"> </w:t>
      </w:r>
      <w:r>
        <w:rPr>
          <w:bCs/>
          <w:b/>
          <w:iCs/>
          <w:i/>
        </w:rPr>
        <w:t xml:space="preserve">Financial Analyst</w:t>
      </w:r>
      <w:r>
        <w:t xml:space="preserve">Netherlands Amsterdam</w:t>
      </w:r>
    </w:p>
    <w:p>
      <w:pPr>
        <w:pStyle w:val="BodyText"/>
      </w:pPr>
      <w:r>
        <w:t xml:space="preserve">We recommend that other businesses in</w:t>
      </w:r>
    </w:p>
    <w:p>
      <w:pPr>
        <w:pStyle w:val="BodyText"/>
      </w:pPr>
      <w:r>
        <w:t xml:space="preserve">Netherlands Amsterdam, particularly those in the tech and logistics sectors, adopt similar integrated approaches. By empowering their</w:t>
      </w:r>
      <w:r>
        <w:t xml:space="preserve"> </w:t>
      </w:r>
      <w:r>
        <w:rPr>
          <w:bCs/>
          <w:b/>
          <w:iCs/>
          <w:i/>
        </w:rPr>
        <w:t xml:space="preserve">Financial Analysts</w:t>
      </w:r>
      <w:r>
        <w:t xml:space="preserve">Netherlands Amsterdam lies in agility, compliance excellence, and data-driven storytelling—all competencies epitomized by the modern</w:t>
      </w:r>
      <w:r>
        <w:t xml:space="preserve"> </w:t>
      </w:r>
      <w:r>
        <w:rPr>
          <w:bCs/>
          <w:b/>
          <w:iCs/>
          <w:i/>
        </w:rPr>
        <w:t xml:space="preserve">Financial Analyst</w:t>
      </w:r>
      <w:r>
        <w:t xml:space="preserve">.</w:t>
      </w:r>
    </w:p>
    <w:p>
      <w:pPr>
        <w:pStyle w:val="BodyText"/>
      </w:pPr>
      <w:r>
        <w:rPr>
          <w:iCs/>
          <w:i/>
        </w:rPr>
        <w:t xml:space="preserve">This document serves as a definitive guide for understanding the intersection of financial analysis and regional economic dynamics in one of Europe’s most vibrant business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the Dutch Market</dc:title>
  <dc:creator/>
  <dc:language>en</dc:language>
  <cp:keywords/>
  <dcterms:created xsi:type="dcterms:W3CDTF">2026-07-29T08:15:05Z</dcterms:created>
  <dcterms:modified xsi:type="dcterms:W3CDTF">2026-07-29T08:15:05Z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