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86e7a384cf7587aa41f9ccf08a2f1f70aef0a3"/>
    <w:p>
      <w:pPr>
        <w:pStyle w:val="Heading1"/>
      </w:pPr>
      <w:r>
        <w:t xml:space="preserve">Navigating Volatility: A Comprehensive Case Study on the Role of a Financial Analyst in Russia Moscow</w:t>
      </w:r>
    </w:p>
    <w:p>
      <w:pPr>
        <w:pStyle w:val="FirstParagraph"/>
      </w:pPr>
      <w:r>
        <w:rPr>
          <w:bCs/>
          <w:b/>
        </w:rPr>
        <w:t xml:space="preserve">Date:</w:t>
      </w:r>
      <w:r>
        <w:t xml:space="preserve"> </w:t>
      </w:r>
      <w:r>
        <w:t xml:space="preserve">October 2023</w:t>
      </w:r>
      <w:r>
        <w:br/>
      </w:r>
      <w:r>
        <w:rPr>
          <w:bCs/>
          <w:b/>
        </w:rPr>
        <w:t xml:space="preserve">Subject:</w:t>
      </w:r>
    </w:p>
    <w:bookmarkEnd w:id="20"/>
    <w:bookmarkStart w:id="21" w:name="executive-summary"/>
    <w:p>
      <w:pPr>
        <w:pStyle w:val="Heading2"/>
      </w:pPr>
      <w:r>
        <w:t xml:space="preserve">1. Executive Summary</w:t>
      </w:r>
    </w:p>
    <w:p>
      <w:pPr>
        <w:pStyle w:val="FirstParagraph"/>
      </w:pPr>
      <w:r>
        <w:t xml:space="preserve">The economic landscape of modern Russia Moscow presents a unique and complex matrix of challenges and opportunities for financial professionals. This case study explores the multifaceted role of a Financial Analyst operating within this dynamic environment. By examining the specific geopolitical, regulatory, and market conditions prevalent in Russia Moscow, we aim to illustrate how strategic financial analysis serves not merely as a reporting function but as a critical survival mechanism for corporate entities navigating international sanctions, currency fluctuations, and supply chain disruptions.</w:t>
      </w:r>
    </w:p>
    <w:p>
      <w:pPr>
        <w:pStyle w:val="BodyText"/>
      </w:pPr>
      <w:r>
        <w:t xml:space="preserve">The primary objective of this document is to highlight the adaptability required of any Financial Analyst based in Russia Moscow. It details the shift from traditional forecasting models to real-time risk assessment frameworks, emphasizing the necessity of localized expertise combined with global analytical standards.</w:t>
      </w:r>
    </w:p>
    <w:bookmarkEnd w:id="21"/>
    <w:bookmarkStart w:id="22" w:name="X8dbe213bedb4a6d2fc05aa61f9c4d3733e10c70"/>
    <w:p>
      <w:pPr>
        <w:pStyle w:val="Heading2"/>
      </w:pPr>
      <w:r>
        <w:t xml:space="preserve">2. Contextual Background: The Economic Environment of Russia Moscow</w:t>
      </w:r>
    </w:p>
    <w:p>
      <w:pPr>
        <w:pStyle w:val="FirstParagraph"/>
      </w:pPr>
      <w:r>
        <w:t xml:space="preserve">Russia Moscow stands as the economic heartbeat of the Russian Federation, hosting the majority of large corporations, financial institutions, and state-owned enterprises. However, in recent years, this hub has faced unprecedented external pressures. The convergence of geopolitical tensions and international sanctions has fundamentally altered the business operating model for companies headquartered in or operating within Russia Moscow.</w:t>
      </w:r>
    </w:p>
    <w:p>
      <w:pPr>
        <w:pStyle w:val="BodyText"/>
      </w:pPr>
      <w:r>
        <w:t xml:space="preserve">For a Financial Analyst in this region, the traditional tools of analysis are insufficient. The volatility of the Ruble against major global currencies requires constant hedging strategies. Furthermore, the disconnection from certain international payment systems necessitates alternative logistical and financial solutions. Understanding these macro-economic forces is not optional for a Financial Analyst; it is foundational to their daily operations in Russia Moscow.</w:t>
      </w:r>
    </w:p>
    <w:bookmarkEnd w:id="22"/>
    <w:bookmarkStart w:id="26" w:name="X74b483bc87e1cb50d171f1df427ae3603a89a59"/>
    <w:p>
      <w:pPr>
        <w:pStyle w:val="Heading2"/>
      </w:pPr>
      <w:r>
        <w:t xml:space="preserve">3. Core Responsibilities of the Financial Analyst</w:t>
      </w:r>
    </w:p>
    <w:p>
      <w:pPr>
        <w:pStyle w:val="FirstParagraph"/>
      </w:pPr>
      <w:r>
        <w:t xml:space="preserve">In the context of this case study, the role of the Financial Analyst extends far beyond standard budgeting and variance analysis. The specific duties are adapted to meet local realities:</w:t>
      </w:r>
    </w:p>
    <w:bookmarkStart w:id="23" w:name="Xe6b9946188baad15fcf09173cc4f26c1a8ce0fc"/>
    <w:p>
      <w:pPr>
        <w:pStyle w:val="Heading3"/>
      </w:pPr>
      <w:r>
        <w:t xml:space="preserve">3.1 Advanced Risk Management and Scenario Planning</w:t>
      </w:r>
    </w:p>
    <w:p>
      <w:pPr>
        <w:pStyle w:val="FirstParagraph"/>
      </w:pPr>
      <w:r>
        <w:t xml:space="preserve">The most critical function for a Financial Analyst in Russia Moscow is risk management. Traditional three-year forecasts are often obsolete within weeks due to sudden policy changes or market shocks. Consequently, the analyst must employ dynamic scenario planning (Base Case, Bear Case, and Crisis Case). This involves modeling the impact of sanctions on supply chains, assessing liquidity constraints caused by banking restrictions, and evaluating counterparty risks in a fragmented trade environment.</w:t>
      </w:r>
    </w:p>
    <w:bookmarkEnd w:id="23"/>
    <w:bookmarkStart w:id="24" w:name="currency-hedging-and-treasury-operations"/>
    <w:p>
      <w:pPr>
        <w:pStyle w:val="Heading3"/>
      </w:pPr>
      <w:r>
        <w:t xml:space="preserve">3.2 Currency Hedging and Treasury Operations</w:t>
      </w:r>
    </w:p>
    <w:p>
      <w:pPr>
        <w:pStyle w:val="FirstParagraph"/>
      </w:pPr>
      <w:r>
        <w:t xml:space="preserve">Variability in the Ruble exchange rate poses a significant threat to profit margins for companies engaging in cross-border trade or holding foreign debt. The Financial Analyst must design robust hedging strategies using derivatives or natural hedges where possible. This requires deep knowledge of local regulatory limits on capital flows and currency conversions within Russia Moscow.</w:t>
      </w:r>
    </w:p>
    <w:bookmarkEnd w:id="24"/>
    <w:bookmarkStart w:id="25" w:name="regulatory-compliance-and-reporting"/>
    <w:p>
      <w:pPr>
        <w:pStyle w:val="Heading3"/>
      </w:pPr>
      <w:r>
        <w:t xml:space="preserve">3.3 Regulatory Compliance and Reporting</w:t>
      </w:r>
    </w:p>
    <w:p>
      <w:pPr>
        <w:pStyle w:val="FirstParagraph"/>
      </w:pPr>
      <w:r>
        <w:t xml:space="preserve">Navigating the Russian tax code and accounting standards (RSBU) while attempting to reconcile them with International Financial Reporting Standards (IFRS) for any remaining foreign investors is a complex task. The Financial Analyst serves as the bridge between local compliance requirements and international transparency expectations, ensuring that audits pass without critical findings despite the evolving legal framework.</w:t>
      </w:r>
    </w:p>
    <w:bookmarkEnd w:id="25"/>
    <w:bookmarkEnd w:id="26"/>
    <w:bookmarkStart w:id="30" w:name="challenges-and-strategic-solutions"/>
    <w:p>
      <w:pPr>
        <w:pStyle w:val="Heading2"/>
      </w:pPr>
      <w:r>
        <w:t xml:space="preserve">4. Challenges and Strategic Solutions</w:t>
      </w:r>
    </w:p>
    <w:bookmarkStart w:id="27" w:name="data-availability-and-integrity"/>
    <w:p>
      <w:pPr>
        <w:pStyle w:val="Heading3"/>
      </w:pPr>
      <w:r>
        <w:t xml:space="preserve">4.1 Data Availability and Integrity</w:t>
      </w:r>
    </w:p>
    <w:p>
      <w:pPr>
        <w:pStyle w:val="FirstParagraph"/>
      </w:pPr>
      <w:r>
        <w:t xml:space="preserve">In a shifting economic climate, access to reliable historical data can be compromised as market structures change rapidly. A key challenge for the Financial Analyst in Russia Moscow is ensuring data integrity. The solution involves implementing robust internal controls and diversifying data sources to include informal market indicators that may reflect trends before official statistics are published.</w:t>
      </w:r>
    </w:p>
    <w:bookmarkEnd w:id="27"/>
    <w:bookmarkStart w:id="28" w:name="talent-retention-and-skill-gaps"/>
    <w:p>
      <w:pPr>
        <w:pStyle w:val="Heading3"/>
      </w:pPr>
      <w:r>
        <w:t xml:space="preserve">4.2 Talent Retention and Skill Gaps</w:t>
      </w:r>
    </w:p>
    <w:p>
      <w:pPr>
        <w:pStyle w:val="FirstParagraph"/>
      </w:pPr>
      <w:r>
        <w:t xml:space="preserve">The departure of international firms has led to a brain drain in Moscow’s financial sector. Consequently, the remaining Financial Analysts must take on broader responsibilities. To address this, companies are increasingly investing in upskilling local talent, focusing on digital literacy and advanced modeling techniques that allow fewer staff members to manage complex portfolios effectively.</w:t>
      </w:r>
    </w:p>
    <w:bookmarkEnd w:id="28"/>
    <w:bookmarkStart w:id="29" w:name="supply-chain-financing"/>
    <w:p>
      <w:pPr>
        <w:pStyle w:val="Heading3"/>
      </w:pPr>
      <w:r>
        <w:t xml:space="preserve">4.3 Supply Chain Financing</w:t>
      </w:r>
    </w:p>
    <w:p>
      <w:pPr>
        <w:pStyle w:val="FirstParagraph"/>
      </w:pPr>
      <w:r>
        <w:t xml:space="preserve">Redefining supplier relationships is paramount. The Financial Analyst must evaluate the creditworthiness of new domestic suppliers who are replacing international ones. This requires detailed cash flow analysis and stress-testing to ensure that shorter payment terms or localized sourcing do not destabilize the company’s working capital cycle.</w:t>
      </w:r>
    </w:p>
    <w:bookmarkEnd w:id="29"/>
    <w:bookmarkEnd w:id="30"/>
    <w:bookmarkStart w:id="31" w:name="X79750e908145992439bf5671a104e531eaee91a"/>
    <w:p>
      <w:pPr>
        <w:pStyle w:val="Heading2"/>
      </w:pPr>
      <w:r>
        <w:t xml:space="preserve">5. Case Illustration: The Retail Sector in Russia Moscow</w:t>
      </w:r>
    </w:p>
    <w:p>
      <w:pPr>
        <w:pStyle w:val="FirstParagraph"/>
      </w:pPr>
      <w:r>
        <w:t xml:space="preserve">To contextualize these points, consider a mid-sized retail conglomerate operating primarily in Russia Moscow. Prior to recent disruptions, this company relied on imports from Europe and Asia. Following sanctions and logistical bottlenecks, the CFO tasked the Senior Financial Analyst with restructuring the cost base.</w:t>
      </w:r>
    </w:p>
    <w:p>
      <w:pPr>
        <w:pStyle w:val="BodyText"/>
      </w:pPr>
      <w:r>
        <w:t xml:space="preserve">The analyst conducted a granular analysis of landed costs for goods sourced via alternative routes through Central Asia and China. By modeling currency hedging strategies specifically for Yuan transactions rather than Euros or Dollars, the company stabilized its gross margins by 15% within six months. Furthermore, the analyst renegotiated lease terms in prime Moscow locations, leveraging vacant retail spaces to reduce fixed overheads during periods of fluctuating consumer spending.</w:t>
      </w:r>
    </w:p>
    <w:p>
      <w:pPr>
        <w:pStyle w:val="BodyText"/>
      </w:pPr>
      <w:r>
        <w:t xml:space="preserve">This example underscores that in Russia Moscow, financial analysis is not a back-office function but a front-line strategic driver. The ability to pivot quickly from international models to localized solutions determines corporate resilience.</w:t>
      </w:r>
    </w:p>
    <w:bookmarkEnd w:id="31"/>
    <w:bookmarkStart w:id="32" w:name="conclusion"/>
    <w:p>
      <w:pPr>
        <w:pStyle w:val="Heading2"/>
      </w:pPr>
      <w:r>
        <w:t xml:space="preserve">6. Conclusion</w:t>
      </w:r>
    </w:p>
    <w:p>
      <w:pPr>
        <w:pStyle w:val="FirstParagraph"/>
      </w:pPr>
      <w:r>
        <w:t xml:space="preserve">The case study of the Financial Analyst in Russia Moscow reveals a profession under transformation. The role has evolved from passive data interpretation to active strategic navigation in a volatile environment. Success in this context requires a blend of technical financial acumen, deep understanding of local regulatory nuances, and psychological resilience.</w:t>
      </w:r>
    </w:p>
    <w:p>
      <w:pPr>
        <w:pStyle w:val="BodyText"/>
      </w:pPr>
      <w:r>
        <w:t xml:space="preserve">For organizations operating within Russia Moscow, investing in high-caliber Financial Analysts who possess these specialized skills is not merely an operational expense but a strategic imperative. These professionals provide the insights necessary to maintain liquidity, manage risk, and identify growth opportunities amidst uncertainty. As the economic landscape continues to evolve, the demand for adaptable and insightful financial leadership in this region will only intensify.</w:t>
      </w:r>
    </w:p>
    <w:p>
      <w:pPr>
        <w:pStyle w:val="BodyText"/>
      </w:pPr>
      <w:r>
        <w:t xml:space="preserve">Ultimately, this document affirms that while the challenges facing Russia Moscow are significant, they present a unique arena where skilled Financial Analysts can demonstrate immense value through innovation, rigor, and strategic foresight.</w:t>
      </w:r>
    </w:p>
    <w:bookmarkEnd w:id="32"/>
    <w:bookmarkStart w:id="33" w:name="recommendations-for-future-practice"/>
    <w:p>
      <w:pPr>
        <w:pStyle w:val="Heading2"/>
      </w:pPr>
      <w:r>
        <w:t xml:space="preserve">7. Recommendations for Future Practice</w:t>
      </w:r>
    </w:p>
    <w:p>
      <w:pPr>
        <w:numPr>
          <w:ilvl w:val="0"/>
          <w:numId w:val="1001"/>
        </w:numPr>
        <w:pStyle w:val="Compact"/>
      </w:pPr>
      <w:r>
        <w:rPr>
          <w:bCs/>
          <w:b/>
        </w:rPr>
        <w:t xml:space="preserve">Diversify Currency Exposure:</w:t>
      </w:r>
    </w:p>
    <w:p>
      <w:pPr>
        <w:numPr>
          <w:ilvl w:val="0"/>
          <w:numId w:val="1001"/>
        </w:numPr>
        <w:pStyle w:val="Compact"/>
      </w:pPr>
      <w:r>
        <w:rPr>
          <w:bCs/>
          <w:b/>
        </w:rPr>
        <w:t xml:space="preserve">Enhance Digital Analytics:</w:t>
      </w:r>
    </w:p>
    <w:p>
      <w:pPr>
        <w:numPr>
          <w:ilvl w:val="0"/>
          <w:numId w:val="1001"/>
        </w:numPr>
        <w:pStyle w:val="Compact"/>
      </w:pPr>
      <w:r>
        <w:rPr>
          <w:bCs/>
          <w:b/>
        </w:rPr>
        <w:t xml:space="preserve">Foster Local Partnerships:</w:t>
      </w:r>
    </w:p>
    <w:p>
      <w:pPr>
        <w:numPr>
          <w:ilvl w:val="0"/>
          <w:numId w:val="1001"/>
        </w:numPr>
        <w:pStyle w:val="Compact"/>
      </w:pPr>
      <w:r>
        <w:rPr>
          <w:bCs/>
          <w:b/>
        </w:rPr>
        <w:t xml:space="preserve">Continuous Education:</w:t>
      </w:r>
    </w:p>
    <w:p>
      <w:pPr>
        <w:pStyle w:val="FirstParagraph"/>
      </w:pPr>
      <w:r>
        <w:t xml:space="preserve">&gt;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2026-07-29T16:52:54Z</dcterms:created>
  <dcterms:modified xsi:type="dcterms:W3CDTF">2026-07-29T16:52:54Z</dcterms:modified>
</cp:coreProperties>
</file>

<file path=docProps/custom.xml><?xml version="1.0" encoding="utf-8"?>
<Properties xmlns="http://schemas.openxmlformats.org/officeDocument/2006/custom-properties" xmlns:vt="http://schemas.openxmlformats.org/officeDocument/2006/docPropsVTypes"/>
</file>